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1433DADE" w:rsidR="00F64BA5" w:rsidRPr="00397540" w:rsidRDefault="00F64BA5" w:rsidP="00F64BA5">
      <w:pPr>
        <w:pStyle w:val="CRCoverPage"/>
        <w:tabs>
          <w:tab w:val="right" w:pos="9639"/>
        </w:tabs>
        <w:spacing w:after="0"/>
        <w:rPr>
          <w:rFonts w:cs="Arial"/>
          <w:b/>
          <w:i/>
          <w:noProof/>
          <w:sz w:val="28"/>
        </w:rPr>
      </w:pPr>
      <w:r w:rsidRPr="00397540">
        <w:rPr>
          <w:rFonts w:cs="Arial"/>
          <w:b/>
          <w:noProof/>
          <w:sz w:val="24"/>
        </w:rPr>
        <w:t>3GPP TSG-RAN WG2 Meeting #99</w:t>
      </w:r>
      <w:r w:rsidR="007F6671">
        <w:rPr>
          <w:rFonts w:cs="Arial"/>
          <w:b/>
          <w:noProof/>
          <w:sz w:val="24"/>
        </w:rPr>
        <w:t>-bis on NR</w:t>
      </w:r>
      <w:r w:rsidRPr="00397540">
        <w:rPr>
          <w:rFonts w:cs="Arial"/>
          <w:b/>
          <w:i/>
          <w:noProof/>
          <w:sz w:val="28"/>
        </w:rPr>
        <w:tab/>
      </w:r>
      <w:r w:rsidR="00397540" w:rsidRPr="00397540">
        <w:rPr>
          <w:rFonts w:cs="Arial"/>
          <w:b/>
          <w:noProof/>
          <w:sz w:val="28"/>
        </w:rPr>
        <w:t>R2-</w:t>
      </w:r>
      <w:r w:rsidR="00123ACF">
        <w:rPr>
          <w:rFonts w:cs="Arial"/>
          <w:b/>
          <w:noProof/>
          <w:sz w:val="28"/>
        </w:rPr>
        <w:t>1710846</w:t>
      </w:r>
    </w:p>
    <w:p w14:paraId="0F028AA1" w14:textId="439202B1" w:rsidR="00F64BA5" w:rsidRPr="00397540" w:rsidRDefault="007F6671" w:rsidP="00F64BA5">
      <w:pPr>
        <w:pStyle w:val="CRCoverPage"/>
        <w:outlineLvl w:val="0"/>
        <w:rPr>
          <w:rFonts w:cs="Arial"/>
          <w:b/>
          <w:noProof/>
          <w:sz w:val="24"/>
        </w:rPr>
      </w:pPr>
      <w:r>
        <w:rPr>
          <w:rFonts w:cs="Arial"/>
          <w:b/>
          <w:noProof/>
          <w:sz w:val="24"/>
        </w:rPr>
        <w:t>Prague</w:t>
      </w:r>
      <w:r w:rsidR="00F64BA5" w:rsidRPr="00397540">
        <w:rPr>
          <w:rFonts w:cs="Arial"/>
          <w:b/>
          <w:noProof/>
          <w:sz w:val="24"/>
        </w:rPr>
        <w:t xml:space="preserve">, </w:t>
      </w:r>
      <w:r>
        <w:rPr>
          <w:rFonts w:cs="Arial"/>
          <w:b/>
          <w:noProof/>
          <w:sz w:val="24"/>
        </w:rPr>
        <w:t>Czech</w:t>
      </w:r>
      <w:r w:rsidR="00F64BA5" w:rsidRPr="00397540">
        <w:rPr>
          <w:rFonts w:cs="Arial"/>
          <w:b/>
          <w:noProof/>
          <w:sz w:val="24"/>
        </w:rPr>
        <w:t xml:space="preserve">, </w:t>
      </w:r>
      <w:r>
        <w:rPr>
          <w:rFonts w:cs="Arial"/>
          <w:b/>
          <w:noProof/>
          <w:sz w:val="24"/>
        </w:rPr>
        <w:t>9</w:t>
      </w:r>
      <w:r w:rsidRPr="007F6671">
        <w:rPr>
          <w:rFonts w:cs="Arial"/>
          <w:b/>
          <w:noProof/>
          <w:sz w:val="24"/>
          <w:vertAlign w:val="superscript"/>
        </w:rPr>
        <w:t>th</w:t>
      </w:r>
      <w:r>
        <w:rPr>
          <w:rFonts w:cs="Arial"/>
          <w:b/>
          <w:noProof/>
          <w:sz w:val="24"/>
        </w:rPr>
        <w:t>-13</w:t>
      </w:r>
      <w:r w:rsidRPr="007F6671">
        <w:rPr>
          <w:rFonts w:cs="Arial"/>
          <w:b/>
          <w:noProof/>
          <w:sz w:val="24"/>
          <w:vertAlign w:val="superscript"/>
        </w:rPr>
        <w:t>th</w:t>
      </w:r>
      <w:r>
        <w:rPr>
          <w:rFonts w:cs="Arial"/>
          <w:b/>
          <w:noProof/>
          <w:sz w:val="24"/>
        </w:rPr>
        <w:t xml:space="preserve"> October</w:t>
      </w:r>
      <w:r w:rsidR="00F64BA5" w:rsidRPr="00397540">
        <w:rPr>
          <w:rFonts w:cs="Arial"/>
          <w:b/>
          <w:noProof/>
          <w:sz w:val="24"/>
        </w:rPr>
        <w:t xml:space="preserve"> 2017</w:t>
      </w:r>
      <w:r w:rsidR="00F64BA5" w:rsidRPr="00397540">
        <w:rPr>
          <w:rFonts w:cs="Arial"/>
          <w:b/>
          <w:noProof/>
          <w:sz w:val="24"/>
        </w:rPr>
        <w:tab/>
      </w:r>
      <w:r w:rsidR="00F64BA5" w:rsidRPr="00397540">
        <w:rPr>
          <w:rFonts w:cs="Arial"/>
          <w:b/>
          <w:noProof/>
          <w:sz w:val="24"/>
        </w:rPr>
        <w:tab/>
      </w:r>
      <w:r w:rsidR="00F64BA5" w:rsidRPr="00397540">
        <w:rPr>
          <w:rFonts w:cs="Arial"/>
          <w:b/>
          <w:noProof/>
          <w:sz w:val="24"/>
        </w:rPr>
        <w:tab/>
      </w:r>
    </w:p>
    <w:p w14:paraId="530B5054" w14:textId="008C6F83" w:rsidR="00055EFC" w:rsidRPr="00397540" w:rsidRDefault="00055EFC" w:rsidP="00055EFC">
      <w:pPr>
        <w:pStyle w:val="3GPPHeader"/>
        <w:rPr>
          <w:rFonts w:ascii="Arial" w:hAnsi="Arial" w:cs="Arial"/>
          <w:sz w:val="22"/>
        </w:rPr>
      </w:pPr>
      <w:r w:rsidRPr="00423F9F">
        <w:rPr>
          <w:rFonts w:ascii="Arial" w:hAnsi="Arial" w:cs="Arial"/>
          <w:sz w:val="22"/>
        </w:rPr>
        <w:t>Agenda Item:</w:t>
      </w:r>
      <w:r w:rsidRPr="00423F9F">
        <w:rPr>
          <w:rFonts w:ascii="Arial" w:hAnsi="Arial" w:cs="Arial"/>
          <w:sz w:val="22"/>
        </w:rPr>
        <w:tab/>
        <w:t>10.</w:t>
      </w:r>
      <w:r w:rsidR="00423F9F" w:rsidRPr="00423F9F">
        <w:rPr>
          <w:rFonts w:ascii="Arial" w:hAnsi="Arial" w:cs="Arial"/>
          <w:sz w:val="22"/>
        </w:rPr>
        <w:t>4.1.4.4</w:t>
      </w:r>
    </w:p>
    <w:p w14:paraId="7415946F" w14:textId="77777777" w:rsidR="00055EFC" w:rsidRPr="00397540" w:rsidRDefault="00055EFC" w:rsidP="00055EFC">
      <w:pPr>
        <w:pStyle w:val="3GPPHeader"/>
        <w:rPr>
          <w:rFonts w:ascii="Arial" w:hAnsi="Arial" w:cs="Arial"/>
          <w:sz w:val="22"/>
        </w:rPr>
      </w:pPr>
      <w:r w:rsidRPr="00397540">
        <w:rPr>
          <w:rFonts w:ascii="Arial" w:hAnsi="Arial" w:cs="Arial"/>
          <w:sz w:val="22"/>
        </w:rPr>
        <w:t>Source:</w:t>
      </w:r>
      <w:r w:rsidRPr="00397540">
        <w:rPr>
          <w:rFonts w:ascii="Arial" w:hAnsi="Arial" w:cs="Arial"/>
          <w:sz w:val="22"/>
        </w:rPr>
        <w:tab/>
        <w:t>Ericsson</w:t>
      </w:r>
    </w:p>
    <w:p w14:paraId="5B345F5E" w14:textId="72C93429" w:rsidR="0087117A" w:rsidRPr="00397540" w:rsidRDefault="0087117A" w:rsidP="0087117A">
      <w:pPr>
        <w:pStyle w:val="3GPPHeader"/>
        <w:rPr>
          <w:rFonts w:ascii="Arial" w:hAnsi="Arial" w:cs="Arial"/>
          <w:sz w:val="22"/>
        </w:rPr>
      </w:pPr>
      <w:r w:rsidRPr="00397540">
        <w:rPr>
          <w:rFonts w:ascii="Arial" w:hAnsi="Arial" w:cs="Arial"/>
          <w:sz w:val="22"/>
        </w:rPr>
        <w:t>Title:</w:t>
      </w:r>
      <w:r w:rsidRPr="00397540">
        <w:rPr>
          <w:rFonts w:ascii="Arial" w:hAnsi="Arial" w:cs="Arial"/>
          <w:sz w:val="22"/>
        </w:rPr>
        <w:tab/>
      </w:r>
      <w:r w:rsidR="00CE72A4" w:rsidRPr="00397540">
        <w:rPr>
          <w:rFonts w:ascii="Arial" w:hAnsi="Arial" w:cs="Arial"/>
          <w:sz w:val="22"/>
        </w:rPr>
        <w:t>T</w:t>
      </w:r>
      <w:bookmarkStart w:id="0" w:name="_GoBack"/>
      <w:bookmarkEnd w:id="0"/>
      <w:r w:rsidR="00CE72A4" w:rsidRPr="00397540">
        <w:rPr>
          <w:rFonts w:ascii="Arial" w:hAnsi="Arial" w:cs="Arial"/>
          <w:sz w:val="22"/>
        </w:rPr>
        <w:t xml:space="preserve">riggering condition for </w:t>
      </w:r>
      <w:r w:rsidR="00DF2EA1" w:rsidRPr="00397540">
        <w:rPr>
          <w:rFonts w:ascii="Arial" w:hAnsi="Arial" w:cs="Arial"/>
          <w:sz w:val="22"/>
        </w:rPr>
        <w:t>A1-A6 events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30ABBBAB" w14:textId="46C0521B" w:rsidR="003942E7" w:rsidRPr="00573E9E" w:rsidRDefault="003942E7" w:rsidP="003942E7">
      <w:pPr>
        <w:pStyle w:val="BodyText"/>
        <w:jc w:val="both"/>
        <w:rPr>
          <w:rFonts w:ascii="Arial" w:hAnsi="Arial" w:cs="Arial"/>
          <w:sz w:val="20"/>
          <w:szCs w:val="20"/>
        </w:rPr>
      </w:pPr>
      <w:r w:rsidRPr="00573E9E">
        <w:rPr>
          <w:rFonts w:ascii="Arial" w:hAnsi="Arial" w:cs="Arial"/>
          <w:sz w:val="20"/>
          <w:szCs w:val="20"/>
        </w:rPr>
        <w:t>In RAN1#88 NR meeting in Athens, it was agreed [1] that CSI-RS can be used for RRM measurements for mobility in RRC_CONNECTED mode.</w:t>
      </w:r>
    </w:p>
    <w:p w14:paraId="474B51E2" w14:textId="77777777" w:rsidR="003942E7" w:rsidRPr="00573E9E"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276"/>
        </w:tabs>
        <w:rPr>
          <w:rFonts w:ascii="Arial" w:hAnsi="Arial" w:cs="Arial"/>
          <w:sz w:val="20"/>
        </w:rPr>
      </w:pPr>
      <w:r w:rsidRPr="00573E9E">
        <w:rPr>
          <w:rFonts w:ascii="Arial" w:hAnsi="Arial" w:cs="Arial"/>
          <w:sz w:val="20"/>
        </w:rPr>
        <w:t>For CONNECTED mode RRM measurement for L3 mobility, CSI-RS can be used, in addition to IDLE mode RS</w:t>
      </w:r>
    </w:p>
    <w:p w14:paraId="2F911EDF" w14:textId="77777777" w:rsidR="003942E7" w:rsidRPr="00573E9E"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Arial" w:hAnsi="Arial" w:cs="Arial"/>
          <w:sz w:val="20"/>
        </w:rPr>
      </w:pPr>
      <w:r w:rsidRPr="00573E9E">
        <w:rPr>
          <w:rFonts w:ascii="Arial" w:hAnsi="Arial" w:cs="Arial"/>
          <w:sz w:val="20"/>
        </w:rPr>
        <w:t>•</w:t>
      </w:r>
      <w:r w:rsidRPr="00573E9E">
        <w:rPr>
          <w:rFonts w:ascii="Arial" w:hAnsi="Arial" w:cs="Arial"/>
          <w:sz w:val="20"/>
        </w:rPr>
        <w:tab/>
        <w:t>Note that RAN1 will consider configuration overhead and possible inter-gNB signaling overhead</w:t>
      </w:r>
    </w:p>
    <w:p w14:paraId="6D5A2DB2" w14:textId="77777777" w:rsidR="003942E7" w:rsidRPr="00573E9E"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Arial" w:hAnsi="Arial" w:cs="Arial"/>
          <w:sz w:val="20"/>
        </w:rPr>
      </w:pPr>
      <w:r w:rsidRPr="00573E9E">
        <w:rPr>
          <w:rFonts w:ascii="Arial" w:hAnsi="Arial" w:cs="Arial"/>
          <w:sz w:val="20"/>
        </w:rPr>
        <w:t>•</w:t>
      </w:r>
      <w:r w:rsidRPr="00573E9E">
        <w:rPr>
          <w:rFonts w:ascii="Arial" w:hAnsi="Arial" w:cs="Arial"/>
          <w:sz w:val="20"/>
        </w:rPr>
        <w:tab/>
        <w:t>Detection of neighbor cell for measurement is based on NR-SS</w:t>
      </w:r>
    </w:p>
    <w:p w14:paraId="3797F9F4" w14:textId="77777777" w:rsidR="003942E7" w:rsidRPr="00573E9E" w:rsidRDefault="003942E7" w:rsidP="003942E7">
      <w:pPr>
        <w:pStyle w:val="BodyText"/>
        <w:jc w:val="both"/>
        <w:rPr>
          <w:rFonts w:ascii="Arial" w:hAnsi="Arial" w:cs="Arial"/>
          <w:sz w:val="20"/>
          <w:szCs w:val="20"/>
        </w:rPr>
      </w:pPr>
      <w:r w:rsidRPr="00573E9E">
        <w:rPr>
          <w:rFonts w:ascii="Arial" w:hAnsi="Arial" w:cs="Arial"/>
          <w:sz w:val="20"/>
          <w:szCs w:val="20"/>
        </w:rPr>
        <w:t xml:space="preserve"> </w:t>
      </w:r>
    </w:p>
    <w:p w14:paraId="25C370C9" w14:textId="18C09254" w:rsidR="001644CE" w:rsidRPr="00573E9E" w:rsidRDefault="001644CE" w:rsidP="00420D41">
      <w:pPr>
        <w:jc w:val="both"/>
        <w:rPr>
          <w:rFonts w:ascii="Arial" w:hAnsi="Arial" w:cs="Arial"/>
          <w:sz w:val="20"/>
          <w:szCs w:val="20"/>
        </w:rPr>
      </w:pPr>
      <w:r w:rsidRPr="00573E9E">
        <w:rPr>
          <w:rFonts w:ascii="Arial" w:hAnsi="Arial" w:cs="Arial"/>
          <w:sz w:val="20"/>
          <w:szCs w:val="20"/>
        </w:rPr>
        <w:t xml:space="preserve">In RAN2#96 the following agreements have been made concerning measurement reports in NR for RRC_CONNECTED UEs: </w:t>
      </w:r>
    </w:p>
    <w:p w14:paraId="55CA88CA" w14:textId="77777777" w:rsidR="001644CE" w:rsidRPr="00573E9E"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573E9E">
        <w:rPr>
          <w:rFonts w:ascii="Arial" w:hAnsi="Arial" w:cs="Arial"/>
          <w:sz w:val="20"/>
          <w:szCs w:val="20"/>
        </w:rPr>
        <w:t>1</w:t>
      </w:r>
      <w:r w:rsidRPr="00573E9E">
        <w:rPr>
          <w:rFonts w:ascii="Arial" w:hAnsi="Arial" w:cs="Arial"/>
          <w:sz w:val="20"/>
          <w:szCs w:val="20"/>
        </w:rPr>
        <w:tab/>
        <w:t>At least events like LTE A1-A6 and periodic will be supported for NR (modification to the events may be considered)</w:t>
      </w:r>
    </w:p>
    <w:p w14:paraId="55EE88F2" w14:textId="77777777" w:rsidR="001644CE" w:rsidRPr="00573E9E"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573E9E">
        <w:rPr>
          <w:rFonts w:ascii="Arial" w:hAnsi="Arial" w:cs="Arial"/>
          <w:sz w:val="20"/>
          <w:szCs w:val="20"/>
        </w:rPr>
        <w:t>FFS other events may be studied</w:t>
      </w:r>
    </w:p>
    <w:p w14:paraId="50CC511D" w14:textId="7C3F509D" w:rsidR="001644CE" w:rsidRPr="00573E9E" w:rsidRDefault="0003488A"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573E9E">
        <w:rPr>
          <w:rFonts w:ascii="Arial" w:hAnsi="Arial" w:cs="Arial"/>
          <w:sz w:val="20"/>
          <w:szCs w:val="20"/>
        </w:rPr>
        <w:t>…</w:t>
      </w:r>
    </w:p>
    <w:p w14:paraId="49509C60" w14:textId="77777777" w:rsidR="001644CE" w:rsidRPr="00573E9E" w:rsidRDefault="001644CE" w:rsidP="001644CE">
      <w:pPr>
        <w:pStyle w:val="Doc-text2"/>
        <w:rPr>
          <w:rFonts w:ascii="Arial" w:hAnsi="Arial" w:cs="Arial"/>
          <w:sz w:val="20"/>
          <w:szCs w:val="20"/>
        </w:rPr>
      </w:pPr>
    </w:p>
    <w:p w14:paraId="6056FA38" w14:textId="6D13AE14" w:rsidR="00490F3E" w:rsidRPr="00573E9E" w:rsidRDefault="00490F3E" w:rsidP="003942E7">
      <w:pPr>
        <w:pStyle w:val="BodyText"/>
        <w:jc w:val="both"/>
        <w:rPr>
          <w:rFonts w:ascii="Arial" w:eastAsia="MS Mincho" w:hAnsi="Arial" w:cs="Arial"/>
          <w:sz w:val="20"/>
          <w:szCs w:val="24"/>
          <w:lang w:eastAsia="en-GB"/>
        </w:rPr>
      </w:pPr>
      <w:r w:rsidRPr="00573E9E">
        <w:rPr>
          <w:rFonts w:ascii="Arial" w:eastAsia="MS Mincho" w:hAnsi="Arial" w:cs="Arial"/>
          <w:sz w:val="20"/>
          <w:szCs w:val="20"/>
        </w:rPr>
        <w:t>In RAN2#97, further progress was made in the measurement report triggering events related area.</w:t>
      </w:r>
    </w:p>
    <w:p w14:paraId="03CA2DDC"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Agreements</w:t>
      </w:r>
    </w:p>
    <w:p w14:paraId="7E4DF988"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 xml:space="preserve">1: Measurement events can be configured for xSS and for additional RS for RRM measurement. </w:t>
      </w:r>
    </w:p>
    <w:p w14:paraId="106AC17B"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2:</w:t>
      </w:r>
      <w:r w:rsidRPr="00573E9E">
        <w:rPr>
          <w:rFonts w:ascii="Arial" w:eastAsia="MS Mincho" w:hAnsi="Arial" w:cs="Arial"/>
          <w:sz w:val="20"/>
          <w:szCs w:val="24"/>
          <w:lang w:eastAsia="en-GB"/>
        </w:rPr>
        <w:tab/>
        <w:t>At least event A1-A6 can be configured for xSS</w:t>
      </w:r>
    </w:p>
    <w:p w14:paraId="6A8D54E3"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FSS Which events that can be configured for additional RS</w:t>
      </w:r>
    </w:p>
    <w:p w14:paraId="1EA0AFA6" w14:textId="74722EFC" w:rsidR="00573E9E" w:rsidRDefault="00573E9E" w:rsidP="00502881">
      <w:pPr>
        <w:tabs>
          <w:tab w:val="left" w:pos="1622"/>
        </w:tabs>
        <w:spacing w:after="0" w:line="240" w:lineRule="auto"/>
        <w:rPr>
          <w:rFonts w:ascii="Arial" w:eastAsia="MS Mincho" w:hAnsi="Arial" w:cs="Arial"/>
          <w:sz w:val="20"/>
          <w:szCs w:val="20"/>
        </w:rPr>
      </w:pPr>
    </w:p>
    <w:p w14:paraId="2B1576EC" w14:textId="2DCF81B8" w:rsidR="00D8203B" w:rsidRPr="007F6671" w:rsidRDefault="00D850DE" w:rsidP="007F6671">
      <w:pPr>
        <w:tabs>
          <w:tab w:val="left" w:pos="1622"/>
        </w:tabs>
        <w:spacing w:after="0" w:line="240" w:lineRule="auto"/>
        <w:rPr>
          <w:rFonts w:ascii="Arial" w:eastAsia="MS Mincho" w:hAnsi="Arial" w:cs="Arial"/>
          <w:sz w:val="20"/>
          <w:szCs w:val="24"/>
          <w:lang w:eastAsia="en-GB"/>
        </w:rPr>
      </w:pPr>
      <w:r>
        <w:rPr>
          <w:rFonts w:ascii="Arial" w:eastAsia="MS Mincho" w:hAnsi="Arial" w:cs="Arial"/>
          <w:sz w:val="20"/>
          <w:szCs w:val="24"/>
          <w:lang w:eastAsia="en-GB"/>
        </w:rPr>
        <w:t xml:space="preserve">In the </w:t>
      </w:r>
      <w:r w:rsidR="00AD5EF1">
        <w:rPr>
          <w:rFonts w:ascii="Arial" w:eastAsia="MS Mincho" w:hAnsi="Arial" w:cs="Arial"/>
          <w:sz w:val="20"/>
          <w:szCs w:val="24"/>
          <w:lang w:eastAsia="en-GB"/>
        </w:rPr>
        <w:t>latest email discussion preceding the current meeting</w:t>
      </w:r>
      <w:r w:rsidR="00F1490C">
        <w:rPr>
          <w:rFonts w:ascii="Arial" w:eastAsia="MS Mincho" w:hAnsi="Arial" w:cs="Arial"/>
          <w:sz w:val="20"/>
          <w:szCs w:val="24"/>
          <w:lang w:eastAsia="en-GB"/>
        </w:rPr>
        <w:t xml:space="preserve"> </w:t>
      </w:r>
      <w:r w:rsidR="00AF7CEB">
        <w:rPr>
          <w:rFonts w:ascii="Arial" w:eastAsia="MS Mincho" w:hAnsi="Arial" w:cs="Arial"/>
          <w:sz w:val="20"/>
          <w:szCs w:val="24"/>
          <w:lang w:eastAsia="en-GB"/>
        </w:rPr>
        <w:fldChar w:fldCharType="begin"/>
      </w:r>
      <w:r w:rsidR="00AF7CEB">
        <w:rPr>
          <w:rFonts w:ascii="Arial" w:eastAsia="MS Mincho" w:hAnsi="Arial" w:cs="Arial"/>
          <w:sz w:val="20"/>
          <w:szCs w:val="24"/>
          <w:lang w:eastAsia="en-GB"/>
        </w:rPr>
        <w:instrText xml:space="preserve"> REF _Ref494365071 \r \h </w:instrText>
      </w:r>
      <w:r w:rsidR="00AF7CEB">
        <w:rPr>
          <w:rFonts w:ascii="Arial" w:eastAsia="MS Mincho" w:hAnsi="Arial" w:cs="Arial"/>
          <w:sz w:val="20"/>
          <w:szCs w:val="24"/>
          <w:lang w:eastAsia="en-GB"/>
        </w:rPr>
      </w:r>
      <w:r w:rsidR="00AF7CEB">
        <w:rPr>
          <w:rFonts w:ascii="Arial" w:eastAsia="MS Mincho" w:hAnsi="Arial" w:cs="Arial"/>
          <w:sz w:val="20"/>
          <w:szCs w:val="24"/>
          <w:lang w:eastAsia="en-GB"/>
        </w:rPr>
        <w:fldChar w:fldCharType="separate"/>
      </w:r>
      <w:r w:rsidR="00AF7CEB">
        <w:rPr>
          <w:rFonts w:ascii="Arial" w:eastAsia="MS Mincho" w:hAnsi="Arial" w:cs="Arial"/>
          <w:sz w:val="20"/>
          <w:szCs w:val="24"/>
          <w:lang w:eastAsia="en-GB"/>
        </w:rPr>
        <w:t>[2]</w:t>
      </w:r>
      <w:r w:rsidR="00AF7CEB">
        <w:rPr>
          <w:rFonts w:ascii="Arial" w:eastAsia="MS Mincho" w:hAnsi="Arial" w:cs="Arial"/>
          <w:sz w:val="20"/>
          <w:szCs w:val="24"/>
          <w:lang w:eastAsia="en-GB"/>
        </w:rPr>
        <w:fldChar w:fldCharType="end"/>
      </w:r>
      <w:r w:rsidR="00AD5EF1">
        <w:rPr>
          <w:rFonts w:ascii="Arial" w:eastAsia="MS Mincho" w:hAnsi="Arial" w:cs="Arial"/>
          <w:sz w:val="20"/>
          <w:szCs w:val="24"/>
          <w:lang w:eastAsia="en-GB"/>
        </w:rPr>
        <w:t xml:space="preserve">, companies expressed some concern about how the possibility of having multiple trigger quantities helps the network and how it can be used. </w:t>
      </w:r>
      <w:r w:rsidR="00502881" w:rsidRPr="00573E9E">
        <w:rPr>
          <w:rFonts w:ascii="Arial" w:eastAsia="MS Mincho" w:hAnsi="Arial" w:cs="Arial"/>
          <w:sz w:val="20"/>
          <w:szCs w:val="24"/>
          <w:lang w:eastAsia="en-GB"/>
        </w:rPr>
        <w:t xml:space="preserve">In this contribution, we </w:t>
      </w:r>
      <w:r w:rsidR="00AD5EF1">
        <w:rPr>
          <w:rFonts w:ascii="Arial" w:eastAsia="MS Mincho" w:hAnsi="Arial" w:cs="Arial"/>
          <w:sz w:val="20"/>
          <w:szCs w:val="24"/>
          <w:lang w:eastAsia="en-GB"/>
        </w:rPr>
        <w:t>provide more details for the same</w:t>
      </w:r>
      <w:r w:rsidR="00502881" w:rsidRPr="00573E9E">
        <w:rPr>
          <w:rFonts w:ascii="Arial" w:eastAsia="MS Mincho" w:hAnsi="Arial" w:cs="Arial"/>
          <w:sz w:val="20"/>
          <w:szCs w:val="24"/>
          <w:lang w:eastAsia="en-GB"/>
        </w:rPr>
        <w:t>.</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73B1F68D" w14:textId="77F355CB" w:rsidR="001A49E6" w:rsidRPr="001A49E6" w:rsidRDefault="001A49E6" w:rsidP="000F5E2A">
      <w:pPr>
        <w:pStyle w:val="Heading2"/>
      </w:pPr>
      <w:r>
        <w:t>Cell based triggering conditions</w:t>
      </w:r>
    </w:p>
    <w:p w14:paraId="3FDBC3E6" w14:textId="3E96890A" w:rsidR="00014F75" w:rsidRDefault="00D71D0F" w:rsidP="0074656F">
      <w:pPr>
        <w:pStyle w:val="Proposal"/>
        <w:numPr>
          <w:ilvl w:val="0"/>
          <w:numId w:val="0"/>
        </w:numPr>
        <w:tabs>
          <w:tab w:val="clear" w:pos="1701"/>
        </w:tabs>
        <w:jc w:val="both"/>
        <w:rPr>
          <w:rFonts w:ascii="Arial" w:hAnsi="Arial" w:cs="Arial"/>
          <w:b w:val="0"/>
          <w:sz w:val="20"/>
          <w:szCs w:val="20"/>
        </w:rPr>
      </w:pPr>
      <w:r w:rsidRPr="00573E9E">
        <w:rPr>
          <w:rFonts w:ascii="Arial" w:hAnsi="Arial" w:cs="Arial"/>
          <w:b w:val="0"/>
          <w:sz w:val="20"/>
          <w:szCs w:val="20"/>
        </w:rPr>
        <w:t xml:space="preserve">In LTE, the network </w:t>
      </w:r>
      <w:r w:rsidR="00CE72A4">
        <w:rPr>
          <w:rFonts w:ascii="Arial" w:hAnsi="Arial" w:cs="Arial"/>
          <w:b w:val="0"/>
          <w:sz w:val="20"/>
          <w:szCs w:val="20"/>
        </w:rPr>
        <w:t xml:space="preserve">is limited to </w:t>
      </w:r>
      <w:r w:rsidRPr="00573E9E">
        <w:rPr>
          <w:rFonts w:ascii="Arial" w:hAnsi="Arial" w:cs="Arial"/>
          <w:b w:val="0"/>
          <w:sz w:val="20"/>
          <w:szCs w:val="20"/>
        </w:rPr>
        <w:t xml:space="preserve">select </w:t>
      </w:r>
      <w:r w:rsidR="00014F75">
        <w:rPr>
          <w:rFonts w:ascii="Arial" w:hAnsi="Arial" w:cs="Arial"/>
          <w:b w:val="0"/>
          <w:sz w:val="20"/>
          <w:szCs w:val="20"/>
        </w:rPr>
        <w:t xml:space="preserve">one trigger quantity (e.g. </w:t>
      </w:r>
      <w:r w:rsidRPr="00573E9E">
        <w:rPr>
          <w:rFonts w:ascii="Arial" w:hAnsi="Arial" w:cs="Arial"/>
          <w:b w:val="0"/>
          <w:sz w:val="20"/>
          <w:szCs w:val="20"/>
        </w:rPr>
        <w:t xml:space="preserve">RSRP </w:t>
      </w:r>
      <w:r w:rsidR="00014F75">
        <w:rPr>
          <w:rFonts w:ascii="Arial" w:hAnsi="Arial" w:cs="Arial"/>
          <w:b w:val="0"/>
          <w:sz w:val="20"/>
          <w:szCs w:val="20"/>
        </w:rPr>
        <w:t xml:space="preserve">or </w:t>
      </w:r>
      <w:r w:rsidRPr="00573E9E">
        <w:rPr>
          <w:rFonts w:ascii="Arial" w:hAnsi="Arial" w:cs="Arial"/>
          <w:b w:val="0"/>
          <w:sz w:val="20"/>
          <w:szCs w:val="20"/>
        </w:rPr>
        <w:t>RSRQ</w:t>
      </w:r>
      <w:r w:rsidR="00014F75">
        <w:rPr>
          <w:rFonts w:ascii="Arial" w:hAnsi="Arial" w:cs="Arial"/>
          <w:b w:val="0"/>
          <w:sz w:val="20"/>
          <w:szCs w:val="20"/>
        </w:rPr>
        <w:t>)</w:t>
      </w:r>
      <w:r w:rsidRPr="00573E9E">
        <w:rPr>
          <w:rFonts w:ascii="Arial" w:hAnsi="Arial" w:cs="Arial"/>
          <w:b w:val="0"/>
          <w:sz w:val="20"/>
          <w:szCs w:val="20"/>
        </w:rPr>
        <w:t xml:space="preserve"> </w:t>
      </w:r>
      <w:r w:rsidR="00014F75">
        <w:rPr>
          <w:rFonts w:ascii="Arial" w:hAnsi="Arial" w:cs="Arial"/>
          <w:b w:val="0"/>
          <w:sz w:val="20"/>
          <w:szCs w:val="20"/>
        </w:rPr>
        <w:t>per event in the reportConfig</w:t>
      </w:r>
      <w:r w:rsidRPr="00573E9E">
        <w:rPr>
          <w:rFonts w:ascii="Arial" w:hAnsi="Arial" w:cs="Arial"/>
          <w:b w:val="0"/>
          <w:sz w:val="20"/>
          <w:szCs w:val="20"/>
        </w:rPr>
        <w:t xml:space="preserve">. For example, </w:t>
      </w:r>
      <w:r w:rsidR="00014F75">
        <w:rPr>
          <w:rFonts w:ascii="Arial" w:hAnsi="Arial" w:cs="Arial"/>
          <w:b w:val="0"/>
          <w:sz w:val="20"/>
          <w:szCs w:val="20"/>
        </w:rPr>
        <w:t xml:space="preserve">an event </w:t>
      </w:r>
      <w:r w:rsidR="00765D24" w:rsidRPr="00573E9E">
        <w:rPr>
          <w:rFonts w:ascii="Arial" w:hAnsi="Arial" w:cs="Arial"/>
          <w:b w:val="0"/>
          <w:sz w:val="20"/>
          <w:szCs w:val="20"/>
        </w:rPr>
        <w:t xml:space="preserve">A1 </w:t>
      </w:r>
      <w:r w:rsidR="00014F75">
        <w:rPr>
          <w:rFonts w:ascii="Arial" w:hAnsi="Arial" w:cs="Arial"/>
          <w:b w:val="0"/>
          <w:sz w:val="20"/>
          <w:szCs w:val="20"/>
        </w:rPr>
        <w:t xml:space="preserve">can be </w:t>
      </w:r>
      <w:r w:rsidR="00765D24" w:rsidRPr="00573E9E">
        <w:rPr>
          <w:rFonts w:ascii="Arial" w:hAnsi="Arial" w:cs="Arial"/>
          <w:b w:val="0"/>
          <w:sz w:val="20"/>
          <w:szCs w:val="20"/>
        </w:rPr>
        <w:t xml:space="preserve">configured to detect the ‘goodness’ of </w:t>
      </w:r>
      <w:r w:rsidR="00014F75">
        <w:rPr>
          <w:rFonts w:ascii="Arial" w:hAnsi="Arial" w:cs="Arial"/>
          <w:b w:val="0"/>
          <w:sz w:val="20"/>
          <w:szCs w:val="20"/>
        </w:rPr>
        <w:t xml:space="preserve">a </w:t>
      </w:r>
      <w:r w:rsidR="00765D24" w:rsidRPr="00573E9E">
        <w:rPr>
          <w:rFonts w:ascii="Arial" w:hAnsi="Arial" w:cs="Arial"/>
          <w:b w:val="0"/>
          <w:sz w:val="20"/>
          <w:szCs w:val="20"/>
        </w:rPr>
        <w:t>serving cell. The UE triggers the measurement report based on the A1 when the serving cell quality becomes better than the threshold</w:t>
      </w:r>
      <w:r w:rsidR="00014F75">
        <w:rPr>
          <w:rFonts w:ascii="Arial" w:hAnsi="Arial" w:cs="Arial"/>
          <w:b w:val="0"/>
          <w:sz w:val="20"/>
          <w:szCs w:val="20"/>
        </w:rPr>
        <w:t xml:space="preserve"> where </w:t>
      </w:r>
      <w:r w:rsidR="00765D24" w:rsidRPr="00573E9E">
        <w:rPr>
          <w:rFonts w:ascii="Arial" w:hAnsi="Arial" w:cs="Arial"/>
          <w:b w:val="0"/>
          <w:sz w:val="20"/>
          <w:szCs w:val="20"/>
        </w:rPr>
        <w:t xml:space="preserve"> </w:t>
      </w:r>
      <w:r w:rsidR="00014F75">
        <w:rPr>
          <w:rFonts w:ascii="Arial" w:hAnsi="Arial" w:cs="Arial"/>
          <w:b w:val="0"/>
          <w:sz w:val="20"/>
          <w:szCs w:val="20"/>
        </w:rPr>
        <w:t xml:space="preserve">the </w:t>
      </w:r>
      <w:r w:rsidR="00765D24" w:rsidRPr="00573E9E">
        <w:rPr>
          <w:rFonts w:ascii="Arial" w:hAnsi="Arial" w:cs="Arial"/>
          <w:b w:val="0"/>
          <w:sz w:val="20"/>
          <w:szCs w:val="20"/>
        </w:rPr>
        <w:t xml:space="preserve">serving cell quality can be either based on RSRP or RSRQ. </w:t>
      </w:r>
      <w:r w:rsidR="00014F75">
        <w:rPr>
          <w:rFonts w:ascii="Arial" w:hAnsi="Arial" w:cs="Arial"/>
          <w:b w:val="0"/>
          <w:sz w:val="20"/>
          <w:szCs w:val="20"/>
        </w:rPr>
        <w:t xml:space="preserve">If </w:t>
      </w:r>
      <w:r w:rsidR="00765D24" w:rsidRPr="00573E9E">
        <w:rPr>
          <w:rFonts w:ascii="Arial" w:hAnsi="Arial" w:cs="Arial"/>
          <w:b w:val="0"/>
          <w:sz w:val="20"/>
          <w:szCs w:val="20"/>
        </w:rPr>
        <w:t xml:space="preserve">the </w:t>
      </w:r>
      <w:r w:rsidR="00014F75">
        <w:rPr>
          <w:rFonts w:ascii="Arial" w:hAnsi="Arial" w:cs="Arial"/>
          <w:b w:val="0"/>
          <w:sz w:val="20"/>
          <w:szCs w:val="20"/>
        </w:rPr>
        <w:t xml:space="preserve">network </w:t>
      </w:r>
      <w:r w:rsidR="00765D24" w:rsidRPr="00573E9E">
        <w:rPr>
          <w:rFonts w:ascii="Arial" w:hAnsi="Arial" w:cs="Arial"/>
          <w:b w:val="0"/>
          <w:sz w:val="20"/>
          <w:szCs w:val="20"/>
        </w:rPr>
        <w:t xml:space="preserve">would like to know the good coverage aspects of the serving cell both in terms of RSRP and RSRQ, </w:t>
      </w:r>
      <w:r w:rsidR="003B13B1">
        <w:rPr>
          <w:rFonts w:ascii="Arial" w:hAnsi="Arial" w:cs="Arial"/>
          <w:b w:val="0"/>
          <w:sz w:val="20"/>
          <w:szCs w:val="20"/>
        </w:rPr>
        <w:t>i</w:t>
      </w:r>
      <w:r w:rsidR="00014F75">
        <w:rPr>
          <w:rFonts w:ascii="Arial" w:hAnsi="Arial" w:cs="Arial"/>
          <w:b w:val="0"/>
          <w:sz w:val="20"/>
          <w:szCs w:val="20"/>
        </w:rPr>
        <w:t>t</w:t>
      </w:r>
      <w:r w:rsidR="00760B4A">
        <w:rPr>
          <w:rFonts w:ascii="Arial" w:hAnsi="Arial" w:cs="Arial"/>
          <w:b w:val="0"/>
          <w:sz w:val="20"/>
          <w:szCs w:val="20"/>
        </w:rPr>
        <w:t xml:space="preserve"> </w:t>
      </w:r>
      <w:r w:rsidR="00014F75">
        <w:rPr>
          <w:rFonts w:ascii="Arial" w:hAnsi="Arial" w:cs="Arial"/>
          <w:b w:val="0"/>
          <w:sz w:val="20"/>
          <w:szCs w:val="20"/>
        </w:rPr>
        <w:t xml:space="preserve">is required to </w:t>
      </w:r>
      <w:r w:rsidR="00765D24" w:rsidRPr="00573E9E">
        <w:rPr>
          <w:rFonts w:ascii="Arial" w:hAnsi="Arial" w:cs="Arial"/>
          <w:b w:val="0"/>
          <w:sz w:val="20"/>
          <w:szCs w:val="20"/>
        </w:rPr>
        <w:t>configure two separate A1 events, one based on the RSRP and the other based on the RSRQ</w:t>
      </w:r>
      <w:r w:rsidR="00014F75">
        <w:rPr>
          <w:rFonts w:ascii="Arial" w:hAnsi="Arial" w:cs="Arial"/>
          <w:b w:val="0"/>
          <w:sz w:val="20"/>
          <w:szCs w:val="20"/>
        </w:rPr>
        <w:t>, associated to the same measurement object</w:t>
      </w:r>
      <w:r w:rsidR="00765D24" w:rsidRPr="00573E9E">
        <w:rPr>
          <w:rFonts w:ascii="Arial" w:hAnsi="Arial" w:cs="Arial"/>
          <w:b w:val="0"/>
          <w:sz w:val="20"/>
          <w:szCs w:val="20"/>
        </w:rPr>
        <w:t xml:space="preserve">. </w:t>
      </w:r>
      <w:r w:rsidR="009F2D8E" w:rsidRPr="00573E9E">
        <w:rPr>
          <w:rFonts w:ascii="Arial" w:hAnsi="Arial" w:cs="Arial"/>
          <w:b w:val="0"/>
          <w:sz w:val="20"/>
          <w:szCs w:val="20"/>
        </w:rPr>
        <w:t>This will lead to more measurement report being triggered from the UE.</w:t>
      </w:r>
      <w:r w:rsidR="0041252E">
        <w:rPr>
          <w:rFonts w:ascii="Arial" w:hAnsi="Arial" w:cs="Arial"/>
          <w:b w:val="0"/>
          <w:sz w:val="20"/>
          <w:szCs w:val="20"/>
        </w:rPr>
        <w:t xml:space="preserve"> This is further explained in the figure below which shows the measurement report configuration based on the current agreements. The serving cell configures the UE with two </w:t>
      </w:r>
      <w:r w:rsidR="0047679C">
        <w:rPr>
          <w:rFonts w:ascii="Arial" w:hAnsi="Arial" w:cs="Arial"/>
          <w:b w:val="0"/>
          <w:sz w:val="20"/>
          <w:szCs w:val="20"/>
        </w:rPr>
        <w:t xml:space="preserve">A2 </w:t>
      </w:r>
      <w:r w:rsidR="0041252E">
        <w:rPr>
          <w:rFonts w:ascii="Arial" w:hAnsi="Arial" w:cs="Arial"/>
          <w:b w:val="0"/>
          <w:sz w:val="20"/>
          <w:szCs w:val="20"/>
        </w:rPr>
        <w:t>reporting configurations, one corres</w:t>
      </w:r>
      <w:r w:rsidR="0047679C">
        <w:rPr>
          <w:rFonts w:ascii="Arial" w:hAnsi="Arial" w:cs="Arial"/>
          <w:b w:val="0"/>
          <w:sz w:val="20"/>
          <w:szCs w:val="20"/>
        </w:rPr>
        <w:t xml:space="preserve">ponding to the RSRP of the serving cell and the other corresponding to the RSRQ of the serving cell. The UE sends measurement report at time = T1 </w:t>
      </w:r>
      <w:r w:rsidR="0047679C">
        <w:rPr>
          <w:rFonts w:ascii="Arial" w:hAnsi="Arial" w:cs="Arial"/>
          <w:b w:val="0"/>
          <w:sz w:val="20"/>
          <w:szCs w:val="20"/>
        </w:rPr>
        <w:lastRenderedPageBreak/>
        <w:t>and sends the periodic transmission of the updated report until time=T2 as the UE is still in the event entered condition. Only after T2 when the UE triggers new measurement report corresponding to the MeasID of the RSRQ based reporting configuration is satisfied, the network will take action. The reports as sent by the UE s</w:t>
      </w:r>
      <w:r w:rsidR="00862212">
        <w:rPr>
          <w:rFonts w:ascii="Arial" w:hAnsi="Arial" w:cs="Arial"/>
          <w:b w:val="0"/>
          <w:sz w:val="20"/>
          <w:szCs w:val="20"/>
        </w:rPr>
        <w:t>h</w:t>
      </w:r>
      <w:r w:rsidR="0047679C">
        <w:rPr>
          <w:rFonts w:ascii="Arial" w:hAnsi="Arial" w:cs="Arial"/>
          <w:b w:val="0"/>
          <w:sz w:val="20"/>
          <w:szCs w:val="20"/>
        </w:rPr>
        <w:t>own in red colour could have been avoided if the network can configure the UE to send the measurement report only when RSRP and RSRQ values crosses certain thresholds respectively.</w:t>
      </w:r>
      <w:r w:rsidR="00862212">
        <w:rPr>
          <w:rFonts w:ascii="Arial" w:hAnsi="Arial" w:cs="Arial"/>
          <w:b w:val="0"/>
          <w:sz w:val="20"/>
          <w:szCs w:val="20"/>
        </w:rPr>
        <w:t xml:space="preserve"> </w:t>
      </w:r>
      <w:r w:rsidR="008027F9">
        <w:rPr>
          <w:rFonts w:ascii="Arial" w:hAnsi="Arial" w:cs="Arial"/>
          <w:b w:val="0"/>
          <w:sz w:val="20"/>
          <w:szCs w:val="20"/>
        </w:rPr>
        <w:t>This additional triggering option will reduce the RRC signalling overhead, improves UE battery consumption via reduced reporting overhead, less memory and processing overhead at the network side.</w:t>
      </w:r>
    </w:p>
    <w:p w14:paraId="25A0A3BA" w14:textId="77777777" w:rsidR="008027F9" w:rsidRDefault="008027F9" w:rsidP="0074656F">
      <w:pPr>
        <w:pStyle w:val="Proposal"/>
        <w:numPr>
          <w:ilvl w:val="0"/>
          <w:numId w:val="0"/>
        </w:numPr>
        <w:tabs>
          <w:tab w:val="clear" w:pos="1701"/>
        </w:tabs>
        <w:jc w:val="both"/>
        <w:rPr>
          <w:rFonts w:ascii="Arial" w:hAnsi="Arial" w:cs="Arial"/>
          <w:b w:val="0"/>
          <w:sz w:val="20"/>
          <w:szCs w:val="20"/>
        </w:rPr>
      </w:pPr>
    </w:p>
    <w:p w14:paraId="18296EDC" w14:textId="13A94ACB" w:rsidR="00EB1C82" w:rsidRDefault="00EB1C82" w:rsidP="0074656F">
      <w:pPr>
        <w:pStyle w:val="Proposal"/>
        <w:numPr>
          <w:ilvl w:val="0"/>
          <w:numId w:val="0"/>
        </w:numPr>
        <w:tabs>
          <w:tab w:val="clear" w:pos="1701"/>
        </w:tabs>
        <w:jc w:val="both"/>
        <w:rPr>
          <w:rFonts w:ascii="Arial" w:hAnsi="Arial" w:cs="Arial"/>
          <w:b w:val="0"/>
          <w:sz w:val="20"/>
          <w:szCs w:val="20"/>
        </w:rPr>
      </w:pPr>
      <w:r>
        <w:rPr>
          <w:rFonts w:ascii="Arial" w:hAnsi="Arial" w:cs="Arial"/>
          <w:b w:val="0"/>
          <w:noProof/>
          <w:sz w:val="20"/>
          <w:szCs w:val="20"/>
        </w:rPr>
        <w:drawing>
          <wp:inline distT="0" distB="0" distL="0" distR="0" wp14:anchorId="4394606B" wp14:editId="02F175FD">
            <wp:extent cx="5593080" cy="242589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537" cy="2426531"/>
                    </a:xfrm>
                    <a:prstGeom prst="rect">
                      <a:avLst/>
                    </a:prstGeom>
                    <a:noFill/>
                  </pic:spPr>
                </pic:pic>
              </a:graphicData>
            </a:graphic>
          </wp:inline>
        </w:drawing>
      </w:r>
    </w:p>
    <w:p w14:paraId="3805FC3F" w14:textId="0CFE34E7" w:rsidR="0041252E" w:rsidRDefault="0041252E" w:rsidP="009F2D8E">
      <w:pPr>
        <w:pStyle w:val="TOC1"/>
        <w:ind w:left="0" w:firstLine="0"/>
        <w:jc w:val="both"/>
        <w:rPr>
          <w:rFonts w:cs="Arial"/>
          <w:b w:val="0"/>
          <w:szCs w:val="20"/>
        </w:rPr>
      </w:pPr>
      <w:r>
        <w:rPr>
          <w:rFonts w:cs="Arial"/>
          <w:b w:val="0"/>
          <w:szCs w:val="20"/>
        </w:rPr>
        <w:drawing>
          <wp:inline distT="0" distB="0" distL="0" distR="0" wp14:anchorId="27DCEE5A" wp14:editId="596EDC17">
            <wp:extent cx="4735195" cy="3218280"/>
            <wp:effectExtent l="0" t="0" r="825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6067" cy="3218873"/>
                    </a:xfrm>
                    <a:prstGeom prst="rect">
                      <a:avLst/>
                    </a:prstGeom>
                    <a:noFill/>
                  </pic:spPr>
                </pic:pic>
              </a:graphicData>
            </a:graphic>
          </wp:inline>
        </w:drawing>
      </w:r>
    </w:p>
    <w:p w14:paraId="0F402D88" w14:textId="77777777" w:rsidR="0041252E" w:rsidRDefault="0041252E" w:rsidP="009F2D8E">
      <w:pPr>
        <w:pStyle w:val="TOC1"/>
        <w:ind w:left="0" w:firstLine="0"/>
        <w:jc w:val="both"/>
        <w:rPr>
          <w:rFonts w:cs="Arial"/>
          <w:b w:val="0"/>
          <w:szCs w:val="20"/>
        </w:rPr>
      </w:pPr>
    </w:p>
    <w:p w14:paraId="124EA9F5" w14:textId="5A8AEB15" w:rsidR="009F2D8E" w:rsidRDefault="00014F75" w:rsidP="009F2D8E">
      <w:pPr>
        <w:pStyle w:val="TOC1"/>
        <w:ind w:left="0" w:firstLine="0"/>
        <w:jc w:val="both"/>
        <w:rPr>
          <w:rFonts w:cs="Arial"/>
          <w:b w:val="0"/>
          <w:szCs w:val="20"/>
        </w:rPr>
      </w:pPr>
      <w:r>
        <w:rPr>
          <w:rFonts w:cs="Arial"/>
          <w:b w:val="0"/>
          <w:szCs w:val="20"/>
        </w:rPr>
        <w:t>In the case of comparing the relative quality to two cells, the network is also limited to choose a given metric per event. Hence, if the network only wants to trigger a handover if both the RSRP and RSRQ of a neighbor cell becomes better than both the RSRP and RSQ of the serving cell, the network must configure two events which may trigger two measurement reports.</w:t>
      </w:r>
    </w:p>
    <w:p w14:paraId="1E6971E0" w14:textId="77777777" w:rsidR="00F55E65" w:rsidRPr="00573E9E" w:rsidRDefault="00F55E65" w:rsidP="009F2D8E">
      <w:pPr>
        <w:pStyle w:val="TOC1"/>
        <w:ind w:left="0" w:firstLine="0"/>
        <w:jc w:val="both"/>
        <w:rPr>
          <w:rFonts w:cs="Arial"/>
          <w:b w:val="0"/>
          <w:kern w:val="2"/>
          <w:szCs w:val="20"/>
        </w:rPr>
      </w:pPr>
    </w:p>
    <w:p w14:paraId="6EDAE92D" w14:textId="4E4271C5" w:rsidR="009F2D8E" w:rsidRDefault="009F2D8E" w:rsidP="009F2D8E">
      <w:pPr>
        <w:pStyle w:val="Observation"/>
        <w:rPr>
          <w:rFonts w:ascii="Arial" w:hAnsi="Arial" w:cs="Arial"/>
          <w:sz w:val="20"/>
          <w:szCs w:val="20"/>
        </w:rPr>
      </w:pPr>
      <w:bookmarkStart w:id="4" w:name="_Hlk490233163"/>
      <w:r w:rsidRPr="00573E9E">
        <w:rPr>
          <w:rFonts w:ascii="Arial" w:hAnsi="Arial" w:cs="Arial"/>
          <w:sz w:val="20"/>
          <w:szCs w:val="20"/>
        </w:rPr>
        <w:t xml:space="preserve">In LTE, the </w:t>
      </w:r>
      <w:r w:rsidR="00014F75">
        <w:rPr>
          <w:rFonts w:ascii="Arial" w:hAnsi="Arial" w:cs="Arial"/>
          <w:sz w:val="20"/>
          <w:szCs w:val="20"/>
        </w:rPr>
        <w:t xml:space="preserve">network is limited to configure a single </w:t>
      </w:r>
      <w:r w:rsidRPr="00573E9E">
        <w:rPr>
          <w:rFonts w:ascii="Arial" w:hAnsi="Arial" w:cs="Arial"/>
          <w:sz w:val="20"/>
          <w:szCs w:val="20"/>
        </w:rPr>
        <w:t xml:space="preserve">trigger quantity (RSRP or RSRQ) per </w:t>
      </w:r>
      <w:r w:rsidRPr="00573E9E">
        <w:rPr>
          <w:rFonts w:ascii="Arial" w:hAnsi="Arial" w:cs="Arial"/>
          <w:i/>
          <w:sz w:val="20"/>
          <w:szCs w:val="20"/>
        </w:rPr>
        <w:t xml:space="preserve">reportConfig </w:t>
      </w:r>
      <w:r w:rsidR="00014F75" w:rsidRPr="00014F75">
        <w:rPr>
          <w:rFonts w:ascii="Arial" w:hAnsi="Arial" w:cs="Arial"/>
          <w:sz w:val="20"/>
          <w:szCs w:val="20"/>
        </w:rPr>
        <w:t xml:space="preserve">which may </w:t>
      </w:r>
      <w:r w:rsidRPr="00014F75">
        <w:rPr>
          <w:rFonts w:ascii="Arial" w:hAnsi="Arial" w:cs="Arial"/>
          <w:sz w:val="20"/>
          <w:szCs w:val="20"/>
        </w:rPr>
        <w:t>l</w:t>
      </w:r>
      <w:r w:rsidRPr="00573E9E">
        <w:rPr>
          <w:rFonts w:ascii="Arial" w:hAnsi="Arial" w:cs="Arial"/>
          <w:sz w:val="20"/>
          <w:szCs w:val="20"/>
        </w:rPr>
        <w:t>ead to more measurement report</w:t>
      </w:r>
      <w:r w:rsidR="00573E9E" w:rsidRPr="00573E9E">
        <w:rPr>
          <w:rFonts w:ascii="Arial" w:hAnsi="Arial" w:cs="Arial"/>
          <w:sz w:val="20"/>
          <w:szCs w:val="20"/>
        </w:rPr>
        <w:t>s</w:t>
      </w:r>
      <w:r w:rsidRPr="00573E9E">
        <w:rPr>
          <w:rFonts w:ascii="Arial" w:hAnsi="Arial" w:cs="Arial"/>
          <w:sz w:val="20"/>
          <w:szCs w:val="20"/>
        </w:rPr>
        <w:t xml:space="preserve"> being triggered by the UE.</w:t>
      </w:r>
    </w:p>
    <w:p w14:paraId="661372C6" w14:textId="4633CCC8" w:rsidR="00F55E65" w:rsidRPr="00573E9E" w:rsidRDefault="00F55E65" w:rsidP="009F2D8E">
      <w:pPr>
        <w:pStyle w:val="Observation"/>
        <w:rPr>
          <w:rFonts w:ascii="Arial" w:hAnsi="Arial" w:cs="Arial"/>
          <w:sz w:val="20"/>
          <w:szCs w:val="20"/>
        </w:rPr>
      </w:pPr>
      <w:r>
        <w:rPr>
          <w:rFonts w:ascii="Arial" w:hAnsi="Arial" w:cs="Arial"/>
          <w:sz w:val="20"/>
          <w:szCs w:val="20"/>
        </w:rPr>
        <w:lastRenderedPageBreak/>
        <w:t>Having multiple triggerQuantity based reporting configuration w</w:t>
      </w:r>
      <w:r w:rsidRPr="00F55E65">
        <w:rPr>
          <w:rFonts w:ascii="Arial" w:hAnsi="Arial" w:cs="Arial"/>
          <w:sz w:val="20"/>
          <w:szCs w:val="20"/>
        </w:rPr>
        <w:t>ould enable reduc</w:t>
      </w:r>
      <w:r>
        <w:rPr>
          <w:rFonts w:ascii="Arial" w:hAnsi="Arial" w:cs="Arial"/>
          <w:sz w:val="20"/>
          <w:szCs w:val="20"/>
        </w:rPr>
        <w:t>ing of</w:t>
      </w:r>
      <w:r w:rsidRPr="00F55E65">
        <w:rPr>
          <w:rFonts w:ascii="Arial" w:hAnsi="Arial" w:cs="Arial"/>
          <w:sz w:val="20"/>
          <w:szCs w:val="20"/>
        </w:rPr>
        <w:t xml:space="preserve"> the RRC signalling overhead, improve</w:t>
      </w:r>
      <w:r>
        <w:rPr>
          <w:rFonts w:ascii="Arial" w:hAnsi="Arial" w:cs="Arial"/>
          <w:sz w:val="20"/>
          <w:szCs w:val="20"/>
        </w:rPr>
        <w:t>ment in</w:t>
      </w:r>
      <w:r w:rsidRPr="00F55E65">
        <w:rPr>
          <w:rFonts w:ascii="Arial" w:hAnsi="Arial" w:cs="Arial"/>
          <w:sz w:val="20"/>
          <w:szCs w:val="20"/>
        </w:rPr>
        <w:t xml:space="preserve"> UE battery consumption via reduced reporting overhead</w:t>
      </w:r>
      <w:r>
        <w:rPr>
          <w:rFonts w:ascii="Arial" w:hAnsi="Arial" w:cs="Arial"/>
          <w:sz w:val="20"/>
          <w:szCs w:val="20"/>
        </w:rPr>
        <w:t xml:space="preserve"> and </w:t>
      </w:r>
      <w:r w:rsidRPr="00F55E65">
        <w:rPr>
          <w:rFonts w:ascii="Arial" w:hAnsi="Arial" w:cs="Arial"/>
          <w:sz w:val="20"/>
          <w:szCs w:val="20"/>
        </w:rPr>
        <w:t>less memory and processing overhead at the network side</w:t>
      </w:r>
      <w:r>
        <w:rPr>
          <w:rFonts w:ascii="Arial" w:hAnsi="Arial" w:cs="Arial"/>
          <w:sz w:val="20"/>
          <w:szCs w:val="20"/>
        </w:rPr>
        <w:t>.</w:t>
      </w:r>
    </w:p>
    <w:bookmarkEnd w:id="4"/>
    <w:p w14:paraId="10E7CD39" w14:textId="1CD89C5C" w:rsidR="00F40EF8" w:rsidRDefault="00F40EF8" w:rsidP="00502881">
      <w:pPr>
        <w:pStyle w:val="Proposal"/>
        <w:numPr>
          <w:ilvl w:val="0"/>
          <w:numId w:val="0"/>
        </w:numPr>
        <w:tabs>
          <w:tab w:val="clear" w:pos="1701"/>
        </w:tabs>
        <w:rPr>
          <w:rFonts w:ascii="Arial" w:hAnsi="Arial" w:cs="Arial"/>
          <w:b w:val="0"/>
          <w:sz w:val="20"/>
          <w:szCs w:val="20"/>
        </w:rPr>
      </w:pPr>
      <w:r>
        <w:rPr>
          <w:rFonts w:ascii="Arial" w:hAnsi="Arial" w:cs="Arial"/>
          <w:b w:val="0"/>
          <w:sz w:val="20"/>
          <w:szCs w:val="20"/>
        </w:rPr>
        <w:t>A simple way to enable the network to take mobility decisions in an efficient manner is to possibly enable the configuration of multiple trigger quantities per event. For example, the network could configure an event A1 to only be trigger if both RSRP and RSRQ becomes better than a threshold.</w:t>
      </w:r>
    </w:p>
    <w:p w14:paraId="59A7666A" w14:textId="77DBD673" w:rsidR="001E7A45" w:rsidRPr="00573E9E" w:rsidRDefault="00F40EF8" w:rsidP="00502881">
      <w:pPr>
        <w:pStyle w:val="Proposal"/>
        <w:numPr>
          <w:ilvl w:val="0"/>
          <w:numId w:val="0"/>
        </w:numPr>
        <w:tabs>
          <w:tab w:val="clear" w:pos="1701"/>
        </w:tabs>
        <w:rPr>
          <w:rFonts w:ascii="Arial" w:hAnsi="Arial" w:cs="Arial"/>
          <w:b w:val="0"/>
          <w:sz w:val="20"/>
          <w:szCs w:val="20"/>
        </w:rPr>
      </w:pPr>
      <w:r>
        <w:rPr>
          <w:rFonts w:ascii="Arial" w:hAnsi="Arial" w:cs="Arial"/>
          <w:b w:val="0"/>
          <w:sz w:val="20"/>
          <w:szCs w:val="20"/>
        </w:rPr>
        <w:t>Notice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p>
    <w:p w14:paraId="18BFFD1F" w14:textId="208C0B28" w:rsidR="005259A3" w:rsidRPr="00573E9E" w:rsidRDefault="00573E9E" w:rsidP="005259A3">
      <w:pPr>
        <w:pStyle w:val="Proposal"/>
        <w:tabs>
          <w:tab w:val="num" w:pos="1701"/>
        </w:tabs>
        <w:rPr>
          <w:rFonts w:ascii="Arial" w:hAnsi="Arial" w:cs="Arial"/>
          <w:sz w:val="20"/>
          <w:szCs w:val="20"/>
        </w:rPr>
      </w:pPr>
      <w:bookmarkStart w:id="5" w:name="_Hlk490232774"/>
      <w:r>
        <w:rPr>
          <w:rFonts w:ascii="Arial" w:hAnsi="Arial" w:cs="Arial"/>
          <w:sz w:val="20"/>
          <w:szCs w:val="20"/>
        </w:rPr>
        <w:t xml:space="preserve">In NR, </w:t>
      </w:r>
      <w:r w:rsidR="00451CED">
        <w:rPr>
          <w:rFonts w:ascii="Arial" w:hAnsi="Arial" w:cs="Arial"/>
          <w:sz w:val="20"/>
          <w:szCs w:val="20"/>
        </w:rPr>
        <w:t xml:space="preserve">the </w:t>
      </w:r>
      <w:r>
        <w:rPr>
          <w:rFonts w:ascii="Arial" w:hAnsi="Arial" w:cs="Arial"/>
          <w:sz w:val="20"/>
          <w:szCs w:val="20"/>
        </w:rPr>
        <w:t xml:space="preserve">network </w:t>
      </w:r>
      <w:r w:rsidR="00451CED">
        <w:rPr>
          <w:rFonts w:ascii="Arial" w:hAnsi="Arial" w:cs="Arial"/>
          <w:sz w:val="20"/>
          <w:szCs w:val="20"/>
        </w:rPr>
        <w:t xml:space="preserve">should not be limited to configure </w:t>
      </w:r>
      <w:r w:rsidR="00FC0F8C">
        <w:rPr>
          <w:rFonts w:ascii="Arial" w:hAnsi="Arial" w:cs="Arial"/>
          <w:sz w:val="20"/>
          <w:szCs w:val="20"/>
        </w:rPr>
        <w:t xml:space="preserve">only </w:t>
      </w:r>
      <w:r w:rsidR="00451CED">
        <w:rPr>
          <w:rFonts w:ascii="Arial" w:hAnsi="Arial" w:cs="Arial"/>
          <w:sz w:val="20"/>
          <w:szCs w:val="20"/>
        </w:rPr>
        <w:t xml:space="preserve">single trigger quantity </w:t>
      </w:r>
      <w:r w:rsidRPr="00573E9E">
        <w:rPr>
          <w:rFonts w:ascii="Arial" w:hAnsi="Arial" w:cs="Arial"/>
          <w:sz w:val="20"/>
          <w:szCs w:val="20"/>
        </w:rPr>
        <w:t xml:space="preserve">(e.g., RSRP </w:t>
      </w:r>
      <w:r w:rsidR="00451CED">
        <w:rPr>
          <w:rFonts w:ascii="Arial" w:hAnsi="Arial" w:cs="Arial"/>
          <w:sz w:val="20"/>
          <w:szCs w:val="20"/>
        </w:rPr>
        <w:t xml:space="preserve">or </w:t>
      </w:r>
      <w:r w:rsidRPr="00573E9E">
        <w:rPr>
          <w:rFonts w:ascii="Arial" w:hAnsi="Arial" w:cs="Arial"/>
          <w:sz w:val="20"/>
          <w:szCs w:val="20"/>
        </w:rPr>
        <w:t>RSRQ</w:t>
      </w:r>
      <w:r w:rsidR="00451CED">
        <w:rPr>
          <w:rFonts w:ascii="Arial" w:hAnsi="Arial" w:cs="Arial"/>
          <w:sz w:val="20"/>
          <w:szCs w:val="20"/>
        </w:rPr>
        <w:t xml:space="preserve"> only) for A1-A6 events</w:t>
      </w:r>
      <w:bookmarkEnd w:id="5"/>
      <w:r w:rsidR="005259A3" w:rsidRPr="00573E9E">
        <w:rPr>
          <w:rFonts w:ascii="Arial" w:hAnsi="Arial" w:cs="Arial"/>
          <w:sz w:val="20"/>
          <w:szCs w:val="20"/>
        </w:rPr>
        <w:t xml:space="preserve">. </w:t>
      </w:r>
    </w:p>
    <w:p w14:paraId="02055079" w14:textId="6FA12D1C" w:rsidR="00233E22" w:rsidRDefault="00F40EF8" w:rsidP="0074656F">
      <w:pPr>
        <w:pStyle w:val="Observation"/>
        <w:numPr>
          <w:ilvl w:val="0"/>
          <w:numId w:val="0"/>
        </w:numPr>
        <w:jc w:val="both"/>
        <w:rPr>
          <w:rFonts w:ascii="Arial" w:hAnsi="Arial" w:cs="Arial"/>
          <w:b w:val="0"/>
          <w:sz w:val="20"/>
          <w:szCs w:val="20"/>
        </w:rPr>
      </w:pPr>
      <w:r>
        <w:rPr>
          <w:rFonts w:ascii="Arial" w:hAnsi="Arial" w:cs="Arial"/>
          <w:b w:val="0"/>
          <w:sz w:val="20"/>
          <w:szCs w:val="20"/>
        </w:rPr>
        <w:t>Following the</w:t>
      </w:r>
      <w:r w:rsidR="00451CED">
        <w:rPr>
          <w:rFonts w:ascii="Arial" w:hAnsi="Arial" w:cs="Arial"/>
          <w:b w:val="0"/>
          <w:sz w:val="20"/>
          <w:szCs w:val="20"/>
        </w:rPr>
        <w:t xml:space="preserve"> </w:t>
      </w:r>
      <w:r>
        <w:rPr>
          <w:rFonts w:ascii="Arial" w:hAnsi="Arial" w:cs="Arial"/>
          <w:b w:val="0"/>
          <w:sz w:val="20"/>
          <w:szCs w:val="20"/>
        </w:rPr>
        <w:t xml:space="preserve">same logic, </w:t>
      </w:r>
      <w:r w:rsidR="00233E22">
        <w:rPr>
          <w:rFonts w:ascii="Arial" w:hAnsi="Arial" w:cs="Arial"/>
          <w:b w:val="0"/>
          <w:sz w:val="20"/>
          <w:szCs w:val="20"/>
        </w:rPr>
        <w:t>RAN2 should also discuss whether the network shall be limited or not to configure a single RS Type per event, where the RS type (e.g., SS Block-based or CSI-RS) would indicate the UE which RS to be used to derive cell measurement results for a given frequency. One potential benefit of such as event could be that the UE only informs the network of a new neighbor cell in a given frequency if both the cell quality of wide beams (indicated by the cell quality based on SS Block measurements) and the cell quality of narrow beams (indicated by the cell quality based on SS Block measurements) are better</w:t>
      </w:r>
      <w:r w:rsidR="003A5080">
        <w:rPr>
          <w:rFonts w:ascii="Arial" w:hAnsi="Arial" w:cs="Arial"/>
          <w:b w:val="0"/>
          <w:sz w:val="20"/>
          <w:szCs w:val="20"/>
        </w:rPr>
        <w:t xml:space="preserve"> than the equivalent ones of the serving cell</w:t>
      </w:r>
      <w:r w:rsidR="00233E22">
        <w:rPr>
          <w:rFonts w:ascii="Arial" w:hAnsi="Arial" w:cs="Arial"/>
          <w:b w:val="0"/>
          <w:sz w:val="20"/>
          <w:szCs w:val="20"/>
        </w:rPr>
        <w:t xml:space="preserve">. Notice that this would not increase the amount of measurements the UE has to perform as the network can anyway configure the UE with multiple events for different RS Types for the same measurement object. In other words, </w:t>
      </w:r>
      <w:r w:rsidR="003A5080">
        <w:rPr>
          <w:rFonts w:ascii="Arial" w:hAnsi="Arial" w:cs="Arial"/>
          <w:b w:val="0"/>
          <w:sz w:val="20"/>
          <w:szCs w:val="20"/>
        </w:rPr>
        <w:t>allowing that kind of configurability does not increase the burden on measurements to be perform but avoids the network to configure multiple events and then the transmissions of more measurement reports.</w:t>
      </w:r>
    </w:p>
    <w:p w14:paraId="3B006052" w14:textId="77777777" w:rsidR="0074656F" w:rsidRDefault="003A5080"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As an example, the </w:t>
      </w:r>
      <w:r w:rsidR="000B10F3">
        <w:rPr>
          <w:rFonts w:ascii="Arial" w:hAnsi="Arial" w:cs="Arial"/>
          <w:b w:val="0"/>
          <w:sz w:val="20"/>
          <w:szCs w:val="20"/>
        </w:rPr>
        <w:t>event A4 (</w:t>
      </w:r>
      <w:r w:rsidR="000B10F3" w:rsidRPr="000B10F3">
        <w:rPr>
          <w:rFonts w:ascii="Arial" w:hAnsi="Arial" w:cs="Arial"/>
          <w:b w:val="0"/>
          <w:sz w:val="20"/>
          <w:szCs w:val="20"/>
        </w:rPr>
        <w:t xml:space="preserve">Neighbour becomes </w:t>
      </w:r>
      <w:r w:rsidR="000B10F3">
        <w:rPr>
          <w:rFonts w:ascii="Arial" w:hAnsi="Arial" w:cs="Arial"/>
          <w:b w:val="0"/>
          <w:sz w:val="20"/>
          <w:szCs w:val="20"/>
        </w:rPr>
        <w:t xml:space="preserve">offset </w:t>
      </w:r>
      <w:r w:rsidR="000B10F3" w:rsidRPr="000B10F3">
        <w:rPr>
          <w:rFonts w:ascii="Arial" w:hAnsi="Arial" w:cs="Arial"/>
          <w:b w:val="0"/>
          <w:sz w:val="20"/>
          <w:szCs w:val="20"/>
        </w:rPr>
        <w:t>better than threshold) is used mainly for the addition of SCell</w:t>
      </w:r>
      <w:r w:rsidR="000B10F3">
        <w:rPr>
          <w:rFonts w:ascii="Arial" w:hAnsi="Arial" w:cs="Arial"/>
          <w:b w:val="0"/>
          <w:sz w:val="20"/>
          <w:szCs w:val="20"/>
        </w:rPr>
        <w:t xml:space="preserve">. </w:t>
      </w:r>
      <w:r w:rsidR="002D5566">
        <w:rPr>
          <w:rFonts w:ascii="Arial" w:hAnsi="Arial" w:cs="Arial"/>
          <w:b w:val="0"/>
          <w:sz w:val="20"/>
          <w:szCs w:val="20"/>
        </w:rPr>
        <w:t xml:space="preserve">In order to ensure that the neighboring cell is sufficiently good, the network would prefer the UE to perform such SCell neighbor related measurements both based on SS Blocks and CSI-RSs. </w:t>
      </w:r>
      <w:r>
        <w:rPr>
          <w:rFonts w:ascii="Arial" w:hAnsi="Arial" w:cs="Arial"/>
          <w:b w:val="0"/>
          <w:sz w:val="20"/>
          <w:szCs w:val="20"/>
        </w:rPr>
        <w:t xml:space="preserve">If a single </w:t>
      </w:r>
      <w:r w:rsidR="002D5566">
        <w:rPr>
          <w:rFonts w:ascii="Arial" w:hAnsi="Arial" w:cs="Arial"/>
          <w:b w:val="0"/>
          <w:sz w:val="20"/>
          <w:szCs w:val="20"/>
        </w:rPr>
        <w:t xml:space="preserve">RS-Type </w:t>
      </w:r>
      <w:r>
        <w:rPr>
          <w:rFonts w:ascii="Arial" w:hAnsi="Arial" w:cs="Arial"/>
          <w:b w:val="0"/>
          <w:sz w:val="20"/>
          <w:szCs w:val="20"/>
        </w:rPr>
        <w:t xml:space="preserve">per </w:t>
      </w:r>
      <w:r w:rsidR="002D5566">
        <w:rPr>
          <w:rFonts w:ascii="Arial" w:hAnsi="Arial" w:cs="Arial"/>
          <w:b w:val="0"/>
          <w:sz w:val="20"/>
          <w:szCs w:val="20"/>
        </w:rPr>
        <w:t xml:space="preserve">event have </w:t>
      </w:r>
      <w:r>
        <w:rPr>
          <w:rFonts w:ascii="Arial" w:hAnsi="Arial" w:cs="Arial"/>
          <w:b w:val="0"/>
          <w:sz w:val="20"/>
          <w:szCs w:val="20"/>
        </w:rPr>
        <w:t>is defined</w:t>
      </w:r>
      <w:r w:rsidR="002D5566">
        <w:rPr>
          <w:rFonts w:ascii="Arial" w:hAnsi="Arial" w:cs="Arial"/>
          <w:b w:val="0"/>
          <w:sz w:val="20"/>
          <w:szCs w:val="20"/>
        </w:rPr>
        <w:t>, the UE has to be configured with multiple reportConfig</w:t>
      </w:r>
      <w:r w:rsidR="008D60EF">
        <w:rPr>
          <w:rFonts w:ascii="Arial" w:hAnsi="Arial" w:cs="Arial"/>
          <w:b w:val="0"/>
          <w:sz w:val="20"/>
          <w:szCs w:val="20"/>
        </w:rPr>
        <w:t>; one corresponding to SS blocks and the</w:t>
      </w:r>
      <w:r w:rsidR="0074656F">
        <w:rPr>
          <w:rFonts w:ascii="Arial" w:hAnsi="Arial" w:cs="Arial"/>
          <w:b w:val="0"/>
          <w:sz w:val="20"/>
          <w:szCs w:val="20"/>
        </w:rPr>
        <w:t xml:space="preserve"> other corresponding to CSI-RS.</w:t>
      </w:r>
    </w:p>
    <w:p w14:paraId="705A6D17" w14:textId="776A104D" w:rsidR="00D93BFA" w:rsidRPr="00573E9E" w:rsidRDefault="00D93BFA"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The ability to include more than one RS type in the same event configuration reduces the need for the UE to trigger multiple measurement reports. </w:t>
      </w:r>
      <w:r w:rsidRPr="00573E9E">
        <w:rPr>
          <w:rFonts w:ascii="Arial" w:hAnsi="Arial" w:cs="Arial"/>
          <w:b w:val="0"/>
          <w:sz w:val="20"/>
          <w:szCs w:val="20"/>
        </w:rPr>
        <w:t xml:space="preserve">As A1-A6 events are already agreed in NR, the configuration can be enhanced to include more than one </w:t>
      </w:r>
      <w:r>
        <w:rPr>
          <w:rFonts w:ascii="Arial" w:hAnsi="Arial" w:cs="Arial"/>
          <w:b w:val="0"/>
          <w:sz w:val="20"/>
          <w:szCs w:val="20"/>
        </w:rPr>
        <w:t>RS Type</w:t>
      </w:r>
      <w:r w:rsidRPr="00573E9E">
        <w:rPr>
          <w:rFonts w:ascii="Arial" w:hAnsi="Arial" w:cs="Arial"/>
          <w:b w:val="0"/>
          <w:sz w:val="20"/>
          <w:szCs w:val="20"/>
        </w:rPr>
        <w:t>.</w:t>
      </w:r>
    </w:p>
    <w:p w14:paraId="6F3B398C" w14:textId="7A1127EE" w:rsidR="00D71D0F" w:rsidRPr="0074656F" w:rsidRDefault="003A5080" w:rsidP="0074656F">
      <w:pPr>
        <w:pStyle w:val="Proposal"/>
        <w:jc w:val="both"/>
        <w:rPr>
          <w:rFonts w:ascii="Arial" w:hAnsi="Arial" w:cs="Arial"/>
          <w:sz w:val="20"/>
          <w:szCs w:val="20"/>
        </w:rPr>
      </w:pPr>
      <w:r w:rsidRPr="003A5080">
        <w:rPr>
          <w:rFonts w:ascii="Arial" w:hAnsi="Arial" w:cs="Arial"/>
          <w:sz w:val="20"/>
          <w:szCs w:val="20"/>
        </w:rPr>
        <w:t xml:space="preserve">In NR, the network should not be limited to configure </w:t>
      </w:r>
      <w:r w:rsidR="00FC0F8C">
        <w:rPr>
          <w:rFonts w:ascii="Arial" w:hAnsi="Arial" w:cs="Arial"/>
          <w:sz w:val="20"/>
          <w:szCs w:val="20"/>
        </w:rPr>
        <w:t xml:space="preserve">only </w:t>
      </w:r>
      <w:r w:rsidRPr="003A5080">
        <w:rPr>
          <w:rFonts w:ascii="Arial" w:hAnsi="Arial" w:cs="Arial"/>
          <w:sz w:val="20"/>
          <w:szCs w:val="20"/>
        </w:rPr>
        <w:t xml:space="preserve">a single </w:t>
      </w:r>
      <w:r>
        <w:rPr>
          <w:rFonts w:ascii="Arial" w:hAnsi="Arial" w:cs="Arial"/>
          <w:sz w:val="20"/>
          <w:szCs w:val="20"/>
        </w:rPr>
        <w:t>RS Type</w:t>
      </w:r>
      <w:r w:rsidR="00FC0F8C">
        <w:rPr>
          <w:rFonts w:ascii="Arial" w:hAnsi="Arial" w:cs="Arial"/>
          <w:sz w:val="20"/>
          <w:szCs w:val="20"/>
        </w:rPr>
        <w:t xml:space="preserve"> (SS Block or CSI-RS)</w:t>
      </w:r>
      <w:r>
        <w:rPr>
          <w:rFonts w:ascii="Arial" w:hAnsi="Arial" w:cs="Arial"/>
          <w:sz w:val="20"/>
          <w:szCs w:val="20"/>
        </w:rPr>
        <w:t xml:space="preserve"> </w:t>
      </w:r>
      <w:r w:rsidR="00FA3626">
        <w:rPr>
          <w:rFonts w:ascii="Arial" w:hAnsi="Arial" w:cs="Arial"/>
          <w:sz w:val="20"/>
          <w:szCs w:val="20"/>
        </w:rPr>
        <w:t xml:space="preserve">per event type (at least </w:t>
      </w:r>
      <w:r w:rsidRPr="003A5080">
        <w:rPr>
          <w:rFonts w:ascii="Arial" w:hAnsi="Arial" w:cs="Arial"/>
          <w:sz w:val="20"/>
          <w:szCs w:val="20"/>
        </w:rPr>
        <w:t>A1-A6</w:t>
      </w:r>
      <w:r w:rsidR="00FA3626">
        <w:rPr>
          <w:rFonts w:ascii="Arial" w:hAnsi="Arial" w:cs="Arial"/>
          <w:sz w:val="20"/>
          <w:szCs w:val="20"/>
        </w:rPr>
        <w:t>).</w:t>
      </w:r>
    </w:p>
    <w:p w14:paraId="52F1FADA" w14:textId="4CB063C0" w:rsidR="0074656F" w:rsidRDefault="00FA3626"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Based on these proposals, with clear usage and benefits, RAN2 should also discuss whether all different combination of RS Type and trigger quantities should be supported and how these should be configured e.g. in reportConfig</w:t>
      </w:r>
      <w:r w:rsidR="00FC0F8C">
        <w:rPr>
          <w:rFonts w:ascii="Arial" w:hAnsi="Arial" w:cs="Arial"/>
          <w:b w:val="0"/>
          <w:sz w:val="20"/>
          <w:szCs w:val="20"/>
        </w:rPr>
        <w:t>.</w:t>
      </w:r>
    </w:p>
    <w:p w14:paraId="50E417B4" w14:textId="562DA324" w:rsidR="001A49E6" w:rsidRPr="001A49E6" w:rsidRDefault="001A49E6" w:rsidP="001A49E6">
      <w:pPr>
        <w:pStyle w:val="Heading2"/>
      </w:pPr>
      <w:r>
        <w:t>Event triggering based on beam information</w:t>
      </w:r>
    </w:p>
    <w:p w14:paraId="107B2EE3" w14:textId="0575F76F" w:rsidR="009774D2" w:rsidRDefault="001A49E6"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One of the reasons RAN2 has spent so much time discussing cell quality derivation is because companies wanted a cell based measurement result to trigger measurement events i.e. there was a common understanding that beam level results should not trigger measurement reporting.</w:t>
      </w:r>
      <w:r w:rsidR="009774D2">
        <w:rPr>
          <w:rFonts w:ascii="Arial" w:hAnsi="Arial" w:cs="Arial"/>
          <w:b w:val="0"/>
          <w:sz w:val="20"/>
          <w:szCs w:val="20"/>
        </w:rPr>
        <w:t xml:space="preserve"> </w:t>
      </w:r>
      <w:r>
        <w:rPr>
          <w:rFonts w:ascii="Arial" w:hAnsi="Arial" w:cs="Arial"/>
          <w:b w:val="0"/>
          <w:sz w:val="20"/>
          <w:szCs w:val="20"/>
        </w:rPr>
        <w:t xml:space="preserve">However, some companies seem to propose now that to avoid ping-pong handovers, cells with more stable / “good” beams </w:t>
      </w:r>
      <w:r w:rsidR="009774D2">
        <w:rPr>
          <w:rFonts w:ascii="Arial" w:hAnsi="Arial" w:cs="Arial"/>
          <w:b w:val="0"/>
          <w:sz w:val="20"/>
          <w:szCs w:val="20"/>
        </w:rPr>
        <w:t xml:space="preserve">should be prioritized. </w:t>
      </w:r>
      <w:r>
        <w:rPr>
          <w:rFonts w:ascii="Arial" w:hAnsi="Arial" w:cs="Arial"/>
          <w:b w:val="0"/>
          <w:sz w:val="20"/>
          <w:szCs w:val="20"/>
        </w:rPr>
        <w:t xml:space="preserve">Initially, one of the reasons that companies argued to define an average </w:t>
      </w:r>
      <w:r w:rsidR="009774D2">
        <w:rPr>
          <w:rFonts w:ascii="Arial" w:hAnsi="Arial" w:cs="Arial"/>
          <w:b w:val="0"/>
          <w:sz w:val="20"/>
          <w:szCs w:val="20"/>
        </w:rPr>
        <w:t xml:space="preserve">of beam measurements </w:t>
      </w:r>
      <w:r>
        <w:rPr>
          <w:rFonts w:ascii="Arial" w:hAnsi="Arial" w:cs="Arial"/>
          <w:b w:val="0"/>
          <w:sz w:val="20"/>
          <w:szCs w:val="20"/>
        </w:rPr>
        <w:t xml:space="preserve">to derive </w:t>
      </w:r>
      <w:r w:rsidR="009774D2">
        <w:rPr>
          <w:rFonts w:ascii="Arial" w:hAnsi="Arial" w:cs="Arial"/>
          <w:b w:val="0"/>
          <w:sz w:val="20"/>
          <w:szCs w:val="20"/>
        </w:rPr>
        <w:t xml:space="preserve">the </w:t>
      </w:r>
      <w:r>
        <w:rPr>
          <w:rFonts w:ascii="Arial" w:hAnsi="Arial" w:cs="Arial"/>
          <w:b w:val="0"/>
          <w:sz w:val="20"/>
          <w:szCs w:val="20"/>
        </w:rPr>
        <w:t xml:space="preserve">cell quality was because it was believed that this would </w:t>
      </w:r>
      <w:r w:rsidR="009774D2">
        <w:rPr>
          <w:rFonts w:ascii="Arial" w:hAnsi="Arial" w:cs="Arial"/>
          <w:b w:val="0"/>
          <w:sz w:val="20"/>
          <w:szCs w:val="20"/>
        </w:rPr>
        <w:t xml:space="preserve">reduce ping-pongs. It was later clarified that </w:t>
      </w:r>
      <w:r>
        <w:rPr>
          <w:rFonts w:ascii="Arial" w:hAnsi="Arial" w:cs="Arial"/>
          <w:b w:val="0"/>
          <w:sz w:val="20"/>
          <w:szCs w:val="20"/>
        </w:rPr>
        <w:t xml:space="preserve">averaging </w:t>
      </w:r>
      <w:r w:rsidR="009774D2">
        <w:rPr>
          <w:rFonts w:ascii="Arial" w:hAnsi="Arial" w:cs="Arial"/>
          <w:b w:val="0"/>
          <w:sz w:val="20"/>
          <w:szCs w:val="20"/>
        </w:rPr>
        <w:t xml:space="preserve">beams </w:t>
      </w:r>
      <w:r>
        <w:rPr>
          <w:rFonts w:ascii="Arial" w:hAnsi="Arial" w:cs="Arial"/>
          <w:b w:val="0"/>
          <w:sz w:val="20"/>
          <w:szCs w:val="20"/>
        </w:rPr>
        <w:t xml:space="preserve">is insignificant to reduce ping-pongs as the final </w:t>
      </w:r>
      <w:r w:rsidR="009774D2">
        <w:rPr>
          <w:rFonts w:ascii="Arial" w:hAnsi="Arial" w:cs="Arial"/>
          <w:b w:val="0"/>
          <w:sz w:val="20"/>
          <w:szCs w:val="20"/>
        </w:rPr>
        <w:t>handover belongs to the network. It was then clarified that the effect of averaging can potentially be a lowering of trigger point where an event is triggered (since averaging beams will always lower the cell quality compared to the best beam).</w:t>
      </w:r>
    </w:p>
    <w:p w14:paraId="17434F4A" w14:textId="7761CCA8" w:rsidR="009774D2" w:rsidRDefault="001A49E6"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Since we have agreed </w:t>
      </w:r>
      <w:r w:rsidR="009774D2">
        <w:rPr>
          <w:rFonts w:ascii="Arial" w:hAnsi="Arial" w:cs="Arial"/>
          <w:b w:val="0"/>
          <w:sz w:val="20"/>
          <w:szCs w:val="20"/>
        </w:rPr>
        <w:t xml:space="preserve">in RAN2 </w:t>
      </w:r>
      <w:r>
        <w:rPr>
          <w:rFonts w:ascii="Arial" w:hAnsi="Arial" w:cs="Arial"/>
          <w:b w:val="0"/>
          <w:sz w:val="20"/>
          <w:szCs w:val="20"/>
        </w:rPr>
        <w:t xml:space="preserve">that beam </w:t>
      </w:r>
      <w:r w:rsidR="009774D2">
        <w:rPr>
          <w:rFonts w:ascii="Arial" w:hAnsi="Arial" w:cs="Arial"/>
          <w:b w:val="0"/>
          <w:sz w:val="20"/>
          <w:szCs w:val="20"/>
        </w:rPr>
        <w:t xml:space="preserve">measurements </w:t>
      </w:r>
      <w:r>
        <w:rPr>
          <w:rFonts w:ascii="Arial" w:hAnsi="Arial" w:cs="Arial"/>
          <w:b w:val="0"/>
          <w:sz w:val="20"/>
          <w:szCs w:val="20"/>
        </w:rPr>
        <w:t xml:space="preserve">can be reported, the </w:t>
      </w:r>
      <w:r w:rsidR="009774D2">
        <w:rPr>
          <w:rFonts w:ascii="Arial" w:hAnsi="Arial" w:cs="Arial"/>
          <w:b w:val="0"/>
          <w:sz w:val="20"/>
          <w:szCs w:val="20"/>
        </w:rPr>
        <w:t xml:space="preserve">network has all the means to make a final decision based on the fact that some reported cells may have more or less stable beams than another, which can be used to not only resolve potential ping-pong handover but also reduce handover failures. </w:t>
      </w:r>
      <w:r w:rsidR="009774D2">
        <w:rPr>
          <w:rFonts w:ascii="Arial" w:hAnsi="Arial" w:cs="Arial"/>
          <w:b w:val="0"/>
          <w:sz w:val="20"/>
          <w:szCs w:val="20"/>
        </w:rPr>
        <w:lastRenderedPageBreak/>
        <w:t>In addition, ping-pong handover avoidance is a sub-function of Mobility Robustness Optimization (MRO), agreed to be left out of Rel-15. Then, we propose the following:</w:t>
      </w:r>
    </w:p>
    <w:p w14:paraId="5B125F34" w14:textId="4E664EBC" w:rsidR="001A49E6" w:rsidRPr="009774D2" w:rsidRDefault="009774D2" w:rsidP="0074656F">
      <w:pPr>
        <w:pStyle w:val="Proposal"/>
        <w:jc w:val="both"/>
        <w:rPr>
          <w:rFonts w:ascii="Arial" w:hAnsi="Arial" w:cs="Arial"/>
          <w:sz w:val="20"/>
          <w:szCs w:val="20"/>
        </w:rPr>
      </w:pPr>
      <w:bookmarkStart w:id="6" w:name="_Hlk490234545"/>
      <w:r>
        <w:rPr>
          <w:rFonts w:ascii="Arial" w:hAnsi="Arial" w:cs="Arial"/>
          <w:sz w:val="20"/>
          <w:szCs w:val="20"/>
        </w:rPr>
        <w:t xml:space="preserve">In NR (at least in Rel-15) events shall not be triggered based on </w:t>
      </w:r>
      <w:r w:rsidR="006300C0">
        <w:rPr>
          <w:rFonts w:ascii="Arial" w:hAnsi="Arial" w:cs="Arial"/>
          <w:sz w:val="20"/>
          <w:szCs w:val="20"/>
        </w:rPr>
        <w:t>number of beams per cell.</w:t>
      </w:r>
    </w:p>
    <w:p w14:paraId="0EA3E36A" w14:textId="77777777" w:rsidR="00D8203B" w:rsidRPr="00573E9E" w:rsidRDefault="00D8203B" w:rsidP="00D8203B">
      <w:pPr>
        <w:pStyle w:val="Heading1"/>
        <w:rPr>
          <w:lang w:val="en-US"/>
        </w:rPr>
      </w:pPr>
      <w:bookmarkStart w:id="7" w:name="_Toc461106288"/>
      <w:bookmarkEnd w:id="3"/>
      <w:bookmarkEnd w:id="6"/>
      <w:bookmarkEnd w:id="7"/>
      <w:r w:rsidRPr="00573E9E">
        <w:rPr>
          <w:lang w:val="en-US"/>
        </w:rPr>
        <w:t>Conclusion</w:t>
      </w:r>
    </w:p>
    <w:p w14:paraId="7D7B443F" w14:textId="5249D2D6" w:rsidR="00022FF7" w:rsidRDefault="00022FF7" w:rsidP="00D8203B">
      <w:pPr>
        <w:pStyle w:val="Proposal"/>
        <w:numPr>
          <w:ilvl w:val="0"/>
          <w:numId w:val="0"/>
        </w:numPr>
        <w:rPr>
          <w:rFonts w:ascii="Arial" w:hAnsi="Arial" w:cs="Arial"/>
          <w:b w:val="0"/>
          <w:sz w:val="20"/>
        </w:rPr>
      </w:pPr>
      <w:bookmarkStart w:id="8" w:name="_Toc485398802"/>
      <w:bookmarkStart w:id="9" w:name="_Toc485417365"/>
      <w:r w:rsidRPr="00573E9E">
        <w:rPr>
          <w:rFonts w:ascii="Arial" w:hAnsi="Arial" w:cs="Arial"/>
          <w:b w:val="0"/>
          <w:sz w:val="20"/>
        </w:rPr>
        <w:t>In this contribution, the following observations were captured:</w:t>
      </w:r>
      <w:bookmarkEnd w:id="8"/>
      <w:bookmarkEnd w:id="9"/>
    </w:p>
    <w:p w14:paraId="752A302F" w14:textId="4BF9AF79" w:rsidR="00FC0F8C" w:rsidRPr="00FC0F8C" w:rsidRDefault="00FC0F8C" w:rsidP="00FC0F8C">
      <w:pPr>
        <w:pStyle w:val="Proposal"/>
        <w:numPr>
          <w:ilvl w:val="0"/>
          <w:numId w:val="0"/>
        </w:numPr>
        <w:ind w:left="1695" w:hanging="1695"/>
        <w:rPr>
          <w:rFonts w:ascii="Arial" w:hAnsi="Arial" w:cs="Arial"/>
          <w:sz w:val="20"/>
        </w:rPr>
      </w:pPr>
      <w:r w:rsidRPr="00FC0F8C">
        <w:rPr>
          <w:rFonts w:ascii="Arial" w:hAnsi="Arial" w:cs="Arial"/>
          <w:sz w:val="20"/>
        </w:rPr>
        <w:t>Observation 1</w:t>
      </w:r>
      <w:r w:rsidRPr="00FC0F8C">
        <w:rPr>
          <w:rFonts w:ascii="Arial" w:hAnsi="Arial" w:cs="Arial"/>
          <w:sz w:val="20"/>
        </w:rPr>
        <w:tab/>
        <w:t>In LTE, the network is limited to configure a single trigger quantity (RSRP or RSRQ) per reportConfig which may lead to more measurement reports being triggered by the UE.</w:t>
      </w:r>
    </w:p>
    <w:p w14:paraId="5ED61B3F" w14:textId="77777777" w:rsidR="00816764" w:rsidRPr="00573E9E" w:rsidRDefault="00816764" w:rsidP="00816764">
      <w:pPr>
        <w:pStyle w:val="TOC1"/>
        <w:ind w:left="0" w:firstLine="0"/>
        <w:jc w:val="both"/>
        <w:rPr>
          <w:rFonts w:cs="Arial"/>
          <w:b w:val="0"/>
          <w:kern w:val="2"/>
          <w:szCs w:val="20"/>
        </w:rPr>
      </w:pPr>
    </w:p>
    <w:p w14:paraId="517857B6" w14:textId="42857D61" w:rsidR="00816764" w:rsidRDefault="00573E9E" w:rsidP="00816764">
      <w:pPr>
        <w:pStyle w:val="Proposal"/>
        <w:numPr>
          <w:ilvl w:val="0"/>
          <w:numId w:val="0"/>
        </w:numPr>
        <w:rPr>
          <w:rFonts w:ascii="Arial" w:hAnsi="Arial" w:cs="Arial"/>
          <w:b w:val="0"/>
          <w:sz w:val="20"/>
        </w:rPr>
      </w:pPr>
      <w:r w:rsidRPr="00573E9E">
        <w:rPr>
          <w:rFonts w:ascii="Arial" w:hAnsi="Arial" w:cs="Arial"/>
          <w:b w:val="0"/>
          <w:sz w:val="20"/>
        </w:rPr>
        <w:t xml:space="preserve">In this contribution, the following proposals were </w:t>
      </w:r>
      <w:r w:rsidR="00816764">
        <w:rPr>
          <w:rFonts w:ascii="Arial" w:hAnsi="Arial" w:cs="Arial"/>
          <w:b w:val="0"/>
          <w:sz w:val="20"/>
        </w:rPr>
        <w:t>captured:</w:t>
      </w:r>
    </w:p>
    <w:p w14:paraId="1627D239" w14:textId="759DEBF0" w:rsidR="00FC0F8C" w:rsidRPr="00FC0F8C" w:rsidRDefault="00FC0F8C" w:rsidP="00FC0F8C">
      <w:pPr>
        <w:pStyle w:val="Proposal"/>
        <w:numPr>
          <w:ilvl w:val="0"/>
          <w:numId w:val="0"/>
        </w:numPr>
        <w:ind w:left="1695" w:hanging="1695"/>
        <w:rPr>
          <w:rFonts w:ascii="Arial" w:hAnsi="Arial" w:cs="Arial"/>
          <w:sz w:val="20"/>
        </w:rPr>
      </w:pPr>
      <w:r w:rsidRPr="00FC0F8C">
        <w:rPr>
          <w:rFonts w:ascii="Arial" w:hAnsi="Arial" w:cs="Arial"/>
          <w:sz w:val="20"/>
        </w:rPr>
        <w:t>Proposal 1</w:t>
      </w:r>
      <w:r w:rsidRPr="00FC0F8C">
        <w:rPr>
          <w:rFonts w:ascii="Arial" w:hAnsi="Arial" w:cs="Arial"/>
          <w:sz w:val="20"/>
        </w:rPr>
        <w:tab/>
        <w:t>In NR, the network should not be limited to configure only single trigger quantity (e.g., RSRP or RSRQ only) for A1-A6 events.</w:t>
      </w:r>
    </w:p>
    <w:p w14:paraId="02E16D33" w14:textId="21DDCC8D" w:rsidR="00573E9E" w:rsidRDefault="00FC0F8C" w:rsidP="00FC0F8C">
      <w:pPr>
        <w:pStyle w:val="Proposal"/>
        <w:numPr>
          <w:ilvl w:val="0"/>
          <w:numId w:val="0"/>
        </w:numPr>
        <w:ind w:left="1695" w:hanging="1695"/>
        <w:rPr>
          <w:rFonts w:ascii="Arial" w:hAnsi="Arial" w:cs="Arial"/>
          <w:sz w:val="20"/>
        </w:rPr>
      </w:pPr>
      <w:r w:rsidRPr="00FC0F8C">
        <w:rPr>
          <w:rFonts w:ascii="Arial" w:hAnsi="Arial" w:cs="Arial"/>
          <w:sz w:val="20"/>
        </w:rPr>
        <w:t>Proposal 2</w:t>
      </w:r>
      <w:r w:rsidRPr="00FC0F8C">
        <w:rPr>
          <w:rFonts w:ascii="Arial" w:hAnsi="Arial" w:cs="Arial"/>
          <w:sz w:val="20"/>
        </w:rPr>
        <w:tab/>
        <w:t>In NR, the network should not be limited to configure only a single RS Type (SS Block or CSI-RS) per event type (at least A1-A6).</w:t>
      </w:r>
    </w:p>
    <w:p w14:paraId="54FD0A2C" w14:textId="55B56B32" w:rsidR="006300C0" w:rsidRPr="00FC0F8C" w:rsidRDefault="006300C0" w:rsidP="00FC0F8C">
      <w:pPr>
        <w:pStyle w:val="Proposal"/>
        <w:numPr>
          <w:ilvl w:val="0"/>
          <w:numId w:val="0"/>
        </w:numPr>
        <w:ind w:left="1695" w:hanging="1695"/>
        <w:rPr>
          <w:rFonts w:ascii="Arial" w:hAnsi="Arial" w:cs="Arial"/>
          <w:sz w:val="20"/>
        </w:rPr>
      </w:pPr>
      <w:r w:rsidRPr="006300C0">
        <w:rPr>
          <w:rFonts w:ascii="Arial" w:hAnsi="Arial" w:cs="Arial"/>
          <w:sz w:val="20"/>
        </w:rPr>
        <w:t>Proposal 3</w:t>
      </w:r>
      <w:r w:rsidRPr="006300C0">
        <w:rPr>
          <w:rFonts w:ascii="Arial" w:hAnsi="Arial" w:cs="Arial"/>
          <w:sz w:val="20"/>
        </w:rPr>
        <w:tab/>
        <w:t>In NR (at least in Rel-15) events shall not be triggered based on number of beams per cell.</w:t>
      </w:r>
    </w:p>
    <w:p w14:paraId="127010A3" w14:textId="5DFD9485" w:rsidR="00D8203B" w:rsidRPr="00573E9E" w:rsidRDefault="00D8203B" w:rsidP="00963032">
      <w:pPr>
        <w:pStyle w:val="Heading1"/>
        <w:rPr>
          <w:lang w:val="en-US"/>
        </w:rPr>
      </w:pPr>
      <w:bookmarkStart w:id="10" w:name="_In-sequence_SDU_delivery"/>
      <w:bookmarkEnd w:id="10"/>
      <w:r w:rsidRPr="00573E9E">
        <w:rPr>
          <w:lang w:val="en-US"/>
        </w:rPr>
        <w:t>References</w:t>
      </w:r>
    </w:p>
    <w:p w14:paraId="7BFF2BF9" w14:textId="1065536B" w:rsidR="00CF1E17" w:rsidRPr="00573E9E" w:rsidRDefault="008C1B2D" w:rsidP="00CF1E17">
      <w:pPr>
        <w:pStyle w:val="Reference"/>
        <w:overflowPunct w:val="0"/>
        <w:autoSpaceDE w:val="0"/>
        <w:autoSpaceDN w:val="0"/>
        <w:adjustRightInd w:val="0"/>
        <w:spacing w:after="120" w:line="240" w:lineRule="auto"/>
        <w:jc w:val="both"/>
        <w:textAlignment w:val="baseline"/>
        <w:rPr>
          <w:rFonts w:ascii="Arial" w:hAnsi="Arial" w:cs="Arial"/>
        </w:rPr>
      </w:pPr>
      <w:bookmarkStart w:id="11" w:name="_Ref481592396"/>
      <w:bookmarkStart w:id="12" w:name="_Ref485393848"/>
      <w:bookmarkStart w:id="13" w:name="_Ref473904283"/>
      <w:bookmarkStart w:id="14" w:name="_Ref473730574"/>
      <w:bookmarkStart w:id="15" w:name="_Ref461217229"/>
      <w:bookmarkStart w:id="16" w:name="_Ref174151459"/>
      <w:bookmarkStart w:id="17" w:name="_Ref189809556"/>
      <w:bookmarkStart w:id="18" w:name="_Ref465773067"/>
      <w:r w:rsidRPr="00573E9E">
        <w:rPr>
          <w:rFonts w:ascii="Arial" w:hAnsi="Arial" w:cs="Arial"/>
        </w:rPr>
        <w:t>R2-1707284, Cell quality derivation in connected mode</w:t>
      </w:r>
      <w:r w:rsidR="00CF1E17" w:rsidRPr="00573E9E">
        <w:rPr>
          <w:rFonts w:ascii="Arial" w:hAnsi="Arial" w:cs="Arial"/>
        </w:rPr>
        <w:t>, 3GPP TSG-RAN WG2 NR#2, Ericsson</w:t>
      </w:r>
      <w:bookmarkEnd w:id="11"/>
      <w:r w:rsidR="00CF1E17" w:rsidRPr="00573E9E">
        <w:rPr>
          <w:rFonts w:ascii="Arial" w:hAnsi="Arial" w:cs="Arial"/>
        </w:rPr>
        <w:t>, June 2017</w:t>
      </w:r>
      <w:bookmarkEnd w:id="12"/>
    </w:p>
    <w:p w14:paraId="097C156B" w14:textId="40C659AC" w:rsidR="00CF1E17" w:rsidRPr="00573E9E" w:rsidRDefault="00CF1E17" w:rsidP="00C1742F">
      <w:pPr>
        <w:pStyle w:val="Reference"/>
        <w:overflowPunct w:val="0"/>
        <w:autoSpaceDE w:val="0"/>
        <w:autoSpaceDN w:val="0"/>
        <w:adjustRightInd w:val="0"/>
        <w:spacing w:after="120" w:line="240" w:lineRule="auto"/>
        <w:jc w:val="both"/>
        <w:textAlignment w:val="baseline"/>
        <w:rPr>
          <w:rFonts w:ascii="Arial" w:hAnsi="Arial" w:cs="Arial"/>
        </w:rPr>
      </w:pPr>
      <w:bookmarkStart w:id="19" w:name="_Ref494365071"/>
      <w:r w:rsidRPr="00573E9E">
        <w:rPr>
          <w:rFonts w:ascii="Arial" w:hAnsi="Arial" w:cs="Arial"/>
        </w:rPr>
        <w:t>R2-17</w:t>
      </w:r>
      <w:r w:rsidR="00B5519A">
        <w:rPr>
          <w:rFonts w:ascii="Arial" w:hAnsi="Arial" w:cs="Arial"/>
        </w:rPr>
        <w:t>10839</w:t>
      </w:r>
      <w:r w:rsidRPr="00573E9E">
        <w:rPr>
          <w:rFonts w:ascii="Arial" w:hAnsi="Arial" w:cs="Arial"/>
        </w:rPr>
        <w:t xml:space="preserve">, </w:t>
      </w:r>
      <w:r w:rsidR="00B5519A">
        <w:rPr>
          <w:rFonts w:ascii="Arial" w:hAnsi="Arial" w:cs="Arial"/>
        </w:rPr>
        <w:t>Summary of email discussion [99#32][NR] TP on RRM</w:t>
      </w:r>
      <w:r w:rsidRPr="00573E9E">
        <w:rPr>
          <w:rFonts w:ascii="Arial" w:hAnsi="Arial" w:cs="Arial"/>
        </w:rPr>
        <w:t>, 3GPP TSG-RAN WG2 NR#</w:t>
      </w:r>
      <w:r w:rsidR="00B5519A">
        <w:rPr>
          <w:rFonts w:ascii="Arial" w:hAnsi="Arial" w:cs="Arial"/>
        </w:rPr>
        <w:t>99</w:t>
      </w:r>
      <w:r w:rsidRPr="00573E9E">
        <w:rPr>
          <w:rFonts w:ascii="Arial" w:hAnsi="Arial" w:cs="Arial"/>
        </w:rPr>
        <w:t xml:space="preserve">, Ericsson, </w:t>
      </w:r>
      <w:r w:rsidR="00B5519A">
        <w:rPr>
          <w:rFonts w:ascii="Arial" w:hAnsi="Arial" w:cs="Arial"/>
        </w:rPr>
        <w:t>October</w:t>
      </w:r>
      <w:r w:rsidRPr="00573E9E">
        <w:rPr>
          <w:rFonts w:ascii="Arial" w:hAnsi="Arial" w:cs="Arial"/>
        </w:rPr>
        <w:t xml:space="preserve"> 2017</w:t>
      </w:r>
      <w:bookmarkEnd w:id="19"/>
    </w:p>
    <w:bookmarkEnd w:id="13"/>
    <w:bookmarkEnd w:id="14"/>
    <w:bookmarkEnd w:id="15"/>
    <w:bookmarkEnd w:id="16"/>
    <w:bookmarkEnd w:id="17"/>
    <w:bookmarkEnd w:id="18"/>
    <w:p w14:paraId="1610256F" w14:textId="77777777" w:rsidR="00C47A40" w:rsidRPr="00573E9E" w:rsidRDefault="00C47A40" w:rsidP="003942E7">
      <w:pPr>
        <w:pStyle w:val="Reference"/>
        <w:numPr>
          <w:ilvl w:val="0"/>
          <w:numId w:val="0"/>
        </w:numPr>
        <w:ind w:left="567" w:hanging="567"/>
        <w:rPr>
          <w:rFonts w:ascii="Arial" w:hAnsi="Arial" w:cs="Arial"/>
          <w:sz w:val="20"/>
          <w:szCs w:val="20"/>
        </w:rPr>
      </w:pPr>
    </w:p>
    <w:sectPr w:rsidR="00C47A40" w:rsidRPr="00573E9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0B66E" w14:textId="77777777" w:rsidR="002F50A4" w:rsidRDefault="002F50A4">
      <w:r>
        <w:separator/>
      </w:r>
    </w:p>
  </w:endnote>
  <w:endnote w:type="continuationSeparator" w:id="0">
    <w:p w14:paraId="6920CF97" w14:textId="77777777" w:rsidR="002F50A4" w:rsidRDefault="002F50A4">
      <w:r>
        <w:continuationSeparator/>
      </w:r>
    </w:p>
  </w:endnote>
  <w:endnote w:type="continuationNotice" w:id="1">
    <w:p w14:paraId="73C16909" w14:textId="77777777" w:rsidR="002F50A4" w:rsidRDefault="002F50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102B8" w14:textId="77777777" w:rsidR="002F50A4" w:rsidRDefault="002F50A4">
      <w:r>
        <w:separator/>
      </w:r>
    </w:p>
  </w:footnote>
  <w:footnote w:type="continuationSeparator" w:id="0">
    <w:p w14:paraId="57233F12" w14:textId="77777777" w:rsidR="002F50A4" w:rsidRDefault="002F50A4">
      <w:r>
        <w:continuationSeparator/>
      </w:r>
    </w:p>
  </w:footnote>
  <w:footnote w:type="continuationNotice" w:id="1">
    <w:p w14:paraId="2F2BD440" w14:textId="77777777" w:rsidR="002F50A4" w:rsidRDefault="002F50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14"/>
    <w:lvlOverride w:ilvl="0">
      <w:startOverride w:val="1"/>
    </w:lvlOverride>
  </w:num>
  <w:num w:numId="17">
    <w:abstractNumId w:val="8"/>
    <w:lvlOverride w:ilvl="0">
      <w:startOverride w:val="1"/>
    </w:lvlOverride>
  </w:num>
  <w:num w:numId="18">
    <w:abstractNumId w:val="4"/>
  </w:num>
  <w:num w:numId="19">
    <w:abstractNumId w:val="12"/>
  </w:num>
  <w:num w:numId="20">
    <w:abstractNumId w:val="17"/>
  </w:num>
  <w:num w:numId="21">
    <w:abstractNumId w:val="14"/>
    <w:lvlOverride w:ilvl="0">
      <w:startOverride w:val="1"/>
    </w:lvlOverride>
  </w:num>
  <w:num w:numId="22">
    <w:abstractNumId w:val="8"/>
    <w:lvlOverride w:ilvl="0">
      <w:startOverride w:val="1"/>
    </w:lvlOverride>
  </w:num>
  <w:num w:numId="23">
    <w:abstractNumId w:val="18"/>
  </w:num>
  <w:num w:numId="24">
    <w:abstractNumId w:val="8"/>
    <w:lvlOverride w:ilvl="0">
      <w:startOverride w:val="1"/>
    </w:lvlOverride>
  </w:num>
  <w:num w:numId="25">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276"/>
    <w:rsid w:val="00011B28"/>
    <w:rsid w:val="00014E6A"/>
    <w:rsid w:val="00014F75"/>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4AB9"/>
    <w:rsid w:val="000B58C3"/>
    <w:rsid w:val="000B61E9"/>
    <w:rsid w:val="000C165A"/>
    <w:rsid w:val="000C2E19"/>
    <w:rsid w:val="000C32CE"/>
    <w:rsid w:val="000C72A6"/>
    <w:rsid w:val="000D04CA"/>
    <w:rsid w:val="000D0D07"/>
    <w:rsid w:val="000D4797"/>
    <w:rsid w:val="000E0527"/>
    <w:rsid w:val="000E1E92"/>
    <w:rsid w:val="000E33C5"/>
    <w:rsid w:val="000F06D6"/>
    <w:rsid w:val="000F0EB1"/>
    <w:rsid w:val="000F1106"/>
    <w:rsid w:val="000F3BE9"/>
    <w:rsid w:val="000F3F6C"/>
    <w:rsid w:val="000F5E2A"/>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4334"/>
    <w:rsid w:val="00151E23"/>
    <w:rsid w:val="001526E0"/>
    <w:rsid w:val="001551B5"/>
    <w:rsid w:val="00155698"/>
    <w:rsid w:val="001643A8"/>
    <w:rsid w:val="001644CE"/>
    <w:rsid w:val="001659C1"/>
    <w:rsid w:val="00173A8E"/>
    <w:rsid w:val="00177795"/>
    <w:rsid w:val="0018143F"/>
    <w:rsid w:val="00190AC1"/>
    <w:rsid w:val="0019341A"/>
    <w:rsid w:val="00195557"/>
    <w:rsid w:val="00197DF9"/>
    <w:rsid w:val="001A1987"/>
    <w:rsid w:val="001A2564"/>
    <w:rsid w:val="001A32FB"/>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E22"/>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4D6"/>
    <w:rsid w:val="002B67E5"/>
    <w:rsid w:val="002C41E6"/>
    <w:rsid w:val="002D071A"/>
    <w:rsid w:val="002D34B2"/>
    <w:rsid w:val="002D5566"/>
    <w:rsid w:val="002D7637"/>
    <w:rsid w:val="002E17F2"/>
    <w:rsid w:val="002E7CAE"/>
    <w:rsid w:val="002F2771"/>
    <w:rsid w:val="002F37A9"/>
    <w:rsid w:val="002F50A4"/>
    <w:rsid w:val="002F51EC"/>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3F9F"/>
    <w:rsid w:val="004242F4"/>
    <w:rsid w:val="00427248"/>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5F3A"/>
    <w:rsid w:val="004669E2"/>
    <w:rsid w:val="00470C31"/>
    <w:rsid w:val="004734D0"/>
    <w:rsid w:val="0047556B"/>
    <w:rsid w:val="0047679C"/>
    <w:rsid w:val="00477768"/>
    <w:rsid w:val="004809B5"/>
    <w:rsid w:val="0048432E"/>
    <w:rsid w:val="00486FD1"/>
    <w:rsid w:val="00490F3E"/>
    <w:rsid w:val="00492BC5"/>
    <w:rsid w:val="004964F1"/>
    <w:rsid w:val="004A16BC"/>
    <w:rsid w:val="004A2B94"/>
    <w:rsid w:val="004B2652"/>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53A7"/>
    <w:rsid w:val="005154C5"/>
    <w:rsid w:val="005219CF"/>
    <w:rsid w:val="005259A3"/>
    <w:rsid w:val="00531534"/>
    <w:rsid w:val="005338D0"/>
    <w:rsid w:val="00534B59"/>
    <w:rsid w:val="00536759"/>
    <w:rsid w:val="00537C62"/>
    <w:rsid w:val="00540030"/>
    <w:rsid w:val="00546970"/>
    <w:rsid w:val="00553426"/>
    <w:rsid w:val="00554E19"/>
    <w:rsid w:val="0056121F"/>
    <w:rsid w:val="00566174"/>
    <w:rsid w:val="00572505"/>
    <w:rsid w:val="00573931"/>
    <w:rsid w:val="00573E9E"/>
    <w:rsid w:val="00580202"/>
    <w:rsid w:val="00582220"/>
    <w:rsid w:val="00582809"/>
    <w:rsid w:val="0058798C"/>
    <w:rsid w:val="005900FA"/>
    <w:rsid w:val="005935A4"/>
    <w:rsid w:val="005948C2"/>
    <w:rsid w:val="00595DCA"/>
    <w:rsid w:val="0059779B"/>
    <w:rsid w:val="005A209A"/>
    <w:rsid w:val="005A5FE4"/>
    <w:rsid w:val="005A662D"/>
    <w:rsid w:val="005B35D7"/>
    <w:rsid w:val="005B392A"/>
    <w:rsid w:val="005B3AA3"/>
    <w:rsid w:val="005B6F83"/>
    <w:rsid w:val="005C4F5C"/>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1686"/>
    <w:rsid w:val="0074405B"/>
    <w:rsid w:val="007445A0"/>
    <w:rsid w:val="0074524B"/>
    <w:rsid w:val="0074656F"/>
    <w:rsid w:val="00747D8B"/>
    <w:rsid w:val="00751228"/>
    <w:rsid w:val="007571E1"/>
    <w:rsid w:val="007604B2"/>
    <w:rsid w:val="00760B4A"/>
    <w:rsid w:val="00762A31"/>
    <w:rsid w:val="00765281"/>
    <w:rsid w:val="00765D24"/>
    <w:rsid w:val="00766BAD"/>
    <w:rsid w:val="007730BD"/>
    <w:rsid w:val="007755F2"/>
    <w:rsid w:val="00775D19"/>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77FD"/>
    <w:rsid w:val="008706D4"/>
    <w:rsid w:val="00870F8A"/>
    <w:rsid w:val="0087117A"/>
    <w:rsid w:val="008719A4"/>
    <w:rsid w:val="00871D23"/>
    <w:rsid w:val="00874312"/>
    <w:rsid w:val="0087437C"/>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1909"/>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C05"/>
    <w:rsid w:val="00946945"/>
    <w:rsid w:val="00947713"/>
    <w:rsid w:val="00950DE7"/>
    <w:rsid w:val="009533ED"/>
    <w:rsid w:val="00953920"/>
    <w:rsid w:val="00953D47"/>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703C"/>
    <w:rsid w:val="009D718F"/>
    <w:rsid w:val="009E068F"/>
    <w:rsid w:val="009E1357"/>
    <w:rsid w:val="009E14E0"/>
    <w:rsid w:val="009E35DB"/>
    <w:rsid w:val="009E47A3"/>
    <w:rsid w:val="009F08F3"/>
    <w:rsid w:val="009F1ECE"/>
    <w:rsid w:val="009F2D8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40E0"/>
    <w:rsid w:val="00AE4DBA"/>
    <w:rsid w:val="00AE4F07"/>
    <w:rsid w:val="00AF1C5D"/>
    <w:rsid w:val="00AF42D7"/>
    <w:rsid w:val="00AF7CEB"/>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5519A"/>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29D3"/>
    <w:rsid w:val="00BC3053"/>
    <w:rsid w:val="00BC4D2E"/>
    <w:rsid w:val="00BD48AC"/>
    <w:rsid w:val="00BD5F1A"/>
    <w:rsid w:val="00BE1234"/>
    <w:rsid w:val="00BE2FA6"/>
    <w:rsid w:val="00BE333F"/>
    <w:rsid w:val="00BE7406"/>
    <w:rsid w:val="00BE760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462A"/>
    <w:rsid w:val="00C14D4B"/>
    <w:rsid w:val="00C154BB"/>
    <w:rsid w:val="00C17AFC"/>
    <w:rsid w:val="00C26FAA"/>
    <w:rsid w:val="00C279B5"/>
    <w:rsid w:val="00C27C45"/>
    <w:rsid w:val="00C31373"/>
    <w:rsid w:val="00C36DB8"/>
    <w:rsid w:val="00C3719D"/>
    <w:rsid w:val="00C37CB1"/>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419B"/>
    <w:rsid w:val="00CB1F63"/>
    <w:rsid w:val="00CB7170"/>
    <w:rsid w:val="00CC040E"/>
    <w:rsid w:val="00CC111F"/>
    <w:rsid w:val="00CC2011"/>
    <w:rsid w:val="00CC2FF7"/>
    <w:rsid w:val="00CC3EA0"/>
    <w:rsid w:val="00CC7B45"/>
    <w:rsid w:val="00CD1188"/>
    <w:rsid w:val="00CD2ED1"/>
    <w:rsid w:val="00CD337B"/>
    <w:rsid w:val="00CE0424"/>
    <w:rsid w:val="00CE1B3F"/>
    <w:rsid w:val="00CE72A4"/>
    <w:rsid w:val="00CE7561"/>
    <w:rsid w:val="00CE7D5C"/>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264E"/>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7B1D"/>
    <w:rsid w:val="00D8021F"/>
    <w:rsid w:val="00D80383"/>
    <w:rsid w:val="00D81685"/>
    <w:rsid w:val="00D8203B"/>
    <w:rsid w:val="00D823C6"/>
    <w:rsid w:val="00D850DE"/>
    <w:rsid w:val="00D85EF7"/>
    <w:rsid w:val="00D86CA3"/>
    <w:rsid w:val="00D871CE"/>
    <w:rsid w:val="00D90BED"/>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490C"/>
    <w:rsid w:val="00F15FA5"/>
    <w:rsid w:val="00F1625B"/>
    <w:rsid w:val="00F16692"/>
    <w:rsid w:val="00F16C19"/>
    <w:rsid w:val="00F209B7"/>
    <w:rsid w:val="00F2376F"/>
    <w:rsid w:val="00F243D8"/>
    <w:rsid w:val="00F30828"/>
    <w:rsid w:val="00F313D6"/>
    <w:rsid w:val="00F40EF8"/>
    <w:rsid w:val="00F40F0C"/>
    <w:rsid w:val="00F4766C"/>
    <w:rsid w:val="00F47DC6"/>
    <w:rsid w:val="00F507D1"/>
    <w:rsid w:val="00F519CE"/>
    <w:rsid w:val="00F51ADA"/>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A3626"/>
    <w:rsid w:val="00FB4B14"/>
    <w:rsid w:val="00FB4C80"/>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64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D526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264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5NUHHDQN7SK2-1-181836</_dlc_DocId>
    <TaxCatchAll xmlns="08b2df90-05d3-4030-90d4-c9feeb4a1cd9">
      <Value>2</Value>
      <Value>1</Value>
    </TaxCatchAll>
    <_dlc_DocIdUrl xmlns="08b2df90-05d3-4030-90d4-c9feeb4a1cd9">
      <Url>https://ericoll.internal.ericsson.com/sites/star/_layouts/DocIdRedir.aspx?ID=5NUHHDQN7SK2-1-181836</Url>
      <Description>5NUHHDQN7SK2-1-181836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8478D-CABD-4EBB-9E67-F03D194B3F1A}">
  <ds:schemaRefs>
    <ds:schemaRef ds:uri="http://schemas.microsoft.com/sharepoint/events"/>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846004A-C0B8-42F0-A01E-5A5AC5398A4B}">
  <ds:schemaRef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 ds:uri="http://purl.org/dc/dcmitype/"/>
    <ds:schemaRef ds:uri="http://purl.org/dc/elements/1.1/"/>
    <ds:schemaRef ds:uri="http://schemas.microsoft.com/sharepoint/v4"/>
    <ds:schemaRef ds:uri="7789c8df-cd92-43c1-8a83-195dbc0f0a0a"/>
    <ds:schemaRef ds:uri="08b2df90-05d3-4030-90d4-c9feeb4a1cd9"/>
  </ds:schemaRefs>
</ds:datastoreItem>
</file>

<file path=customXml/itemProps4.xml><?xml version="1.0" encoding="utf-8"?>
<ds:datastoreItem xmlns:ds="http://schemas.openxmlformats.org/officeDocument/2006/customXml" ds:itemID="{7B2F56D7-66A9-4E86-B744-516B029FF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83FB7A-69C7-4B54-B28F-149A11F039ED}">
  <ds:schemaRefs>
    <ds:schemaRef ds:uri="Microsoft.SharePoint.Taxonomy.ContentTypeSync"/>
  </ds:schemaRefs>
</ds:datastoreItem>
</file>

<file path=customXml/itemProps6.xml><?xml version="1.0" encoding="utf-8"?>
<ds:datastoreItem xmlns:ds="http://schemas.openxmlformats.org/officeDocument/2006/customXml" ds:itemID="{1ADDBC6E-03A3-4E5E-8268-D7174444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2017-09-28T19:37:00Z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f7a4e7b4-b8ec-479b-acf8-84b627eddead</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